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2D56" w14:textId="77777777" w:rsidR="00813503" w:rsidRDefault="00813503" w:rsidP="00813503">
      <w:pPr>
        <w:rPr>
          <w:rFonts w:ascii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935" distR="114935" simplePos="0" relativeHeight="251659264" behindDoc="0" locked="0" layoutInCell="1" allowOverlap="1" wp14:anchorId="3E3FAC20" wp14:editId="2BBB1D0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02410" cy="870585"/>
            <wp:effectExtent l="0" t="0" r="254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92" r="-52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70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10260" w14:textId="77777777" w:rsidR="00813503" w:rsidRPr="00557C5C" w:rsidRDefault="00813503" w:rsidP="00813503">
      <w:pPr>
        <w:rPr>
          <w:rFonts w:ascii="Times New Roman" w:hAnsi="Times New Roman" w:cs="Times New Roman"/>
          <w:sz w:val="24"/>
          <w:szCs w:val="24"/>
        </w:rPr>
      </w:pPr>
    </w:p>
    <w:p w14:paraId="3984F750" w14:textId="77777777" w:rsidR="00813503" w:rsidRDefault="00813503" w:rsidP="00813503">
      <w:pPr>
        <w:rPr>
          <w:rFonts w:ascii="Times New Roman" w:hAnsi="Times New Roman" w:cs="Times New Roman"/>
          <w:sz w:val="24"/>
          <w:szCs w:val="24"/>
        </w:rPr>
      </w:pPr>
    </w:p>
    <w:p w14:paraId="3D109B1E" w14:textId="77777777" w:rsidR="00813503" w:rsidRPr="00557C5C" w:rsidRDefault="00813503" w:rsidP="0081350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стандартний страховий продукт</w:t>
      </w:r>
    </w:p>
    <w:p w14:paraId="411BACAF" w14:textId="64FC3FBC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Туристичне страхування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1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bancassurance</w:t>
      </w:r>
      <w:proofErr w:type="spellEnd"/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5DBC86CC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Страхування витрат, пов’язаних з наданням допомоги (</w:t>
      </w:r>
      <w:proofErr w:type="spellStart"/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асистанс</w:t>
      </w:r>
      <w:proofErr w:type="spellEnd"/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) особам, які потрапили у скрутне становище під час здійснення подорожі</w:t>
      </w:r>
    </w:p>
    <w:p w14:paraId="248C160E" w14:textId="77777777" w:rsidR="00EB5423" w:rsidRPr="00557C5C" w:rsidRDefault="00EB5423" w:rsidP="00813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2BFCD15B" w14:textId="77777777" w:rsidTr="000E3B5B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2D36D7AD" w14:textId="77777777" w:rsidR="00813503" w:rsidRPr="00557C5C" w:rsidRDefault="00813503" w:rsidP="0081350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Об’єкт страхування</w:t>
            </w:r>
          </w:p>
        </w:tc>
      </w:tr>
    </w:tbl>
    <w:p w14:paraId="1CF84ACE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</w:p>
    <w:p w14:paraId="7C5A83E5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ind w:left="57" w:righ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>Об’єктом</w:t>
      </w:r>
      <w:r w:rsidRPr="00557C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страхування</w:t>
      </w:r>
      <w:r w:rsidRPr="00557C5C" w:rsidDel="00EA38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7C5C">
        <w:rPr>
          <w:rFonts w:ascii="Times New Roman" w:eastAsia="Times New Roman" w:hAnsi="Times New Roman" w:cs="Times New Roman"/>
          <w:bCs/>
          <w:sz w:val="24"/>
          <w:szCs w:val="24"/>
        </w:rPr>
        <w:t>є життя, здоров'я страхувальника чи третьої особи (застрахованої особи), визначеної страхувальником у договорі страхування за її згодою, а також медичні та додаткові витрати, які безпосередньо пов'язані з настанням страхового випадку під час здійснення страхувальником чи застрахованою особою подорожі (поїздки).</w:t>
      </w:r>
    </w:p>
    <w:p w14:paraId="3782D7D6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9582"/>
      </w:tblGrid>
      <w:tr w:rsidR="00813503" w:rsidRPr="00557C5C" w14:paraId="3AC6EB14" w14:textId="77777777" w:rsidTr="000E3B5B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319EF918" w14:textId="77777777" w:rsidR="00813503" w:rsidRPr="00557C5C" w:rsidRDefault="00813503" w:rsidP="00813503">
            <w:pPr>
              <w:numPr>
                <w:ilvl w:val="0"/>
                <w:numId w:val="5"/>
              </w:num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Страхові</w:t>
            </w:r>
            <w:r w:rsidRPr="00557C5C">
              <w:rPr>
                <w:rFonts w:ascii="Times New Roman" w:eastAsia="Times New Roman" w:hAnsi="Times New Roman" w:cs="Times New Roman"/>
                <w:b/>
                <w:spacing w:val="25"/>
                <w:sz w:val="24"/>
                <w:szCs w:val="24"/>
                <w:lang w:val="uk-UA"/>
              </w:rPr>
              <w:t xml:space="preserve"> </w:t>
            </w: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ризики</w:t>
            </w:r>
            <w:r w:rsidRPr="00557C5C">
              <w:rPr>
                <w:rFonts w:ascii="Times New Roman" w:eastAsia="Times New Roman" w:hAnsi="Times New Roman" w:cs="Times New Roman"/>
                <w:b/>
                <w:spacing w:val="95"/>
                <w:sz w:val="24"/>
                <w:szCs w:val="24"/>
                <w:lang w:val="uk-UA"/>
              </w:rPr>
              <w:t xml:space="preserve"> </w:t>
            </w: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557C5C">
              <w:rPr>
                <w:rFonts w:ascii="Times New Roman" w:eastAsia="Times New Roman" w:hAnsi="Times New Roman" w:cs="Times New Roman"/>
                <w:b/>
                <w:spacing w:val="95"/>
                <w:sz w:val="24"/>
                <w:szCs w:val="24"/>
                <w:lang w:val="uk-UA"/>
              </w:rPr>
              <w:t xml:space="preserve"> </w:t>
            </w: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обмеження страхування</w:t>
            </w:r>
          </w:p>
        </w:tc>
      </w:tr>
    </w:tbl>
    <w:p w14:paraId="7C35448A" w14:textId="77777777" w:rsidR="00813503" w:rsidRPr="00557C5C" w:rsidRDefault="00813503" w:rsidP="00813503">
      <w:pPr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Включаються такі ризики в межах 18 класу страхування:</w:t>
      </w:r>
    </w:p>
    <w:p w14:paraId="22936004" w14:textId="77777777" w:rsidR="00813503" w:rsidRPr="00557C5C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страхування медичних витрат, пов’язаних з наданням допомоги (</w:t>
      </w:r>
      <w:proofErr w:type="spellStart"/>
      <w:r w:rsidRPr="00557C5C">
        <w:rPr>
          <w:rFonts w:ascii="Times New Roman" w:eastAsia="Calibri" w:hAnsi="Times New Roman" w:cs="Times New Roman"/>
          <w:sz w:val="24"/>
          <w:szCs w:val="24"/>
        </w:rPr>
        <w:t>асистанс</w:t>
      </w:r>
      <w:proofErr w:type="spellEnd"/>
      <w:r w:rsidRPr="00557C5C">
        <w:rPr>
          <w:rFonts w:ascii="Times New Roman" w:eastAsia="Calibri" w:hAnsi="Times New Roman" w:cs="Times New Roman"/>
          <w:sz w:val="24"/>
          <w:szCs w:val="24"/>
        </w:rPr>
        <w:t>) особам, які потрапили в скрутне становище під час здійснення подорожі (поїздки) на території України або за кордон;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D732ED" w14:textId="152B4085" w:rsidR="00813503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страхування витрат, інших, ніж медичні, пов’язаних з наданням допомоги (</w:t>
      </w:r>
      <w:proofErr w:type="spellStart"/>
      <w:r w:rsidRPr="00557C5C">
        <w:rPr>
          <w:rFonts w:ascii="Times New Roman" w:eastAsia="Calibri" w:hAnsi="Times New Roman" w:cs="Times New Roman"/>
          <w:sz w:val="24"/>
          <w:szCs w:val="24"/>
        </w:rPr>
        <w:t>асистанс</w:t>
      </w:r>
      <w:proofErr w:type="spellEnd"/>
      <w:r w:rsidRPr="00557C5C">
        <w:rPr>
          <w:rFonts w:ascii="Times New Roman" w:eastAsia="Calibri" w:hAnsi="Times New Roman" w:cs="Times New Roman"/>
          <w:sz w:val="24"/>
          <w:szCs w:val="24"/>
        </w:rPr>
        <w:t>) особам, які потрапили в скрутне становище під час здійснення подорожі (поїздки) на території України або за кордон</w:t>
      </w:r>
      <w:r w:rsidR="005D056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951820" w14:textId="77777777" w:rsidR="005D056F" w:rsidRPr="0010726A" w:rsidRDefault="005D056F" w:rsidP="005D056F">
      <w:pPr>
        <w:spacing w:before="24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0726A">
        <w:rPr>
          <w:rFonts w:ascii="Times New Roman" w:eastAsia="Calibri" w:hAnsi="Times New Roman" w:cs="Times New Roman"/>
          <w:sz w:val="24"/>
          <w:szCs w:val="24"/>
        </w:rPr>
        <w:t>Включаються такі ризики в межах 1 класу страхування:</w:t>
      </w:r>
    </w:p>
    <w:p w14:paraId="3756E610" w14:textId="122A31C7" w:rsidR="005D056F" w:rsidRPr="005D056F" w:rsidRDefault="005D056F" w:rsidP="005D056F">
      <w:pPr>
        <w:numPr>
          <w:ilvl w:val="0"/>
          <w:numId w:val="11"/>
        </w:numPr>
        <w:tabs>
          <w:tab w:val="left" w:pos="851"/>
        </w:tabs>
        <w:spacing w:before="24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6A">
        <w:rPr>
          <w:rFonts w:ascii="Times New Roman" w:eastAsia="Calibri" w:hAnsi="Times New Roman" w:cs="Times New Roman"/>
          <w:sz w:val="24"/>
          <w:szCs w:val="24"/>
        </w:rPr>
        <w:t>страхування</w:t>
      </w:r>
      <w:r w:rsidRPr="0010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нещасного випадку, включаючи нещасний випадок на транспорті. </w:t>
      </w:r>
    </w:p>
    <w:p w14:paraId="7CC96DC9" w14:textId="77777777" w:rsidR="00813503" w:rsidRPr="00557C5C" w:rsidRDefault="00813503" w:rsidP="00813503">
      <w:pPr>
        <w:spacing w:before="240"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Страховик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 відповідальності за Договором страхування, якщо випадок стався:</w:t>
      </w:r>
    </w:p>
    <w:p w14:paraId="5685A0FE" w14:textId="77777777" w:rsidR="00813503" w:rsidRPr="00557C5C" w:rsidRDefault="00813503" w:rsidP="00813503">
      <w:pPr>
        <w:widowControl w:val="0"/>
        <w:numPr>
          <w:ilvl w:val="2"/>
          <w:numId w:val="2"/>
        </w:numPr>
        <w:tabs>
          <w:tab w:val="left" w:pos="851"/>
        </w:tabs>
        <w:autoSpaceDE w:val="0"/>
        <w:autoSpaceDN w:val="0"/>
        <w:spacing w:before="240" w:after="0" w:line="276" w:lineRule="auto"/>
        <w:ind w:left="143" w:firstLine="1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 час надзвичайного, особливого чи військового стану, оголошеного органами влади в країні </w:t>
      </w:r>
      <w:r w:rsidRPr="00557C5C">
        <w:rPr>
          <w:rFonts w:ascii="Times New Roman" w:eastAsia="Calibri" w:hAnsi="Times New Roman" w:cs="Times New Roman"/>
          <w:sz w:val="24"/>
          <w:szCs w:val="24"/>
        </w:rPr>
        <w:t>перебування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Застрахованої особи та/або під час громадських заворушень, революції, повстання, страйку або терористичного акту, в результаті протизаконних дій (бездіяльності) державних органів в країні перебування (її частині) Застрахованої особи, а також у разі, якщо в’їзд до даної країни не рекомендованій Міністерством закордонних справ України;</w:t>
      </w:r>
    </w:p>
    <w:p w14:paraId="5F7E1C8B" w14:textId="77777777" w:rsidR="00813503" w:rsidRPr="00557C5C" w:rsidRDefault="00813503" w:rsidP="00813503">
      <w:pPr>
        <w:widowControl w:val="0"/>
        <w:numPr>
          <w:ilvl w:val="2"/>
          <w:numId w:val="2"/>
        </w:numPr>
        <w:tabs>
          <w:tab w:val="left" w:pos="851"/>
        </w:tabs>
        <w:autoSpaceDE w:val="0"/>
        <w:autoSpaceDN w:val="0"/>
        <w:spacing w:before="240" w:after="0" w:line="276" w:lineRule="auto"/>
        <w:ind w:left="143" w:firstLine="1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внаслідок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впливу ядерної енергії;</w:t>
      </w:r>
    </w:p>
    <w:p w14:paraId="0419EC66" w14:textId="77777777" w:rsidR="00813503" w:rsidRPr="00557C5C" w:rsidRDefault="00813503" w:rsidP="00813503">
      <w:pPr>
        <w:widowControl w:val="0"/>
        <w:numPr>
          <w:ilvl w:val="2"/>
          <w:numId w:val="2"/>
        </w:numPr>
        <w:tabs>
          <w:tab w:val="left" w:pos="851"/>
        </w:tabs>
        <w:autoSpaceDE w:val="0"/>
        <w:autoSpaceDN w:val="0"/>
        <w:spacing w:before="240" w:after="0" w:line="276" w:lineRule="auto"/>
        <w:ind w:left="143" w:firstLine="1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межами дії </w:t>
      </w:r>
      <w:r w:rsidRPr="00557C5C">
        <w:rPr>
          <w:rFonts w:ascii="Times New Roman" w:eastAsia="Calibri" w:hAnsi="Times New Roman" w:cs="Times New Roman"/>
          <w:sz w:val="24"/>
          <w:szCs w:val="24"/>
        </w:rPr>
        <w:t>Договору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страхування;</w:t>
      </w:r>
    </w:p>
    <w:p w14:paraId="742FD444" w14:textId="21119B55" w:rsidR="001E5A4C" w:rsidRPr="001E5A4C" w:rsidRDefault="001E5A4C" w:rsidP="001E5A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26A">
        <w:rPr>
          <w:rFonts w:ascii="Times New Roman" w:eastAsia="Times New Roman" w:hAnsi="Times New Roman" w:cs="Times New Roman"/>
          <w:sz w:val="24"/>
          <w:szCs w:val="24"/>
        </w:rPr>
        <w:t xml:space="preserve">Продуктом для банку </w:t>
      </w:r>
      <w:r w:rsidRPr="0010726A">
        <w:rPr>
          <w:rFonts w:ascii="Times New Roman" w:eastAsia="Times New Roman" w:hAnsi="Times New Roman" w:cs="Times New Roman"/>
          <w:b/>
          <w:sz w:val="24"/>
          <w:szCs w:val="24"/>
        </w:rPr>
        <w:t>ПРАВЕКС БАНК</w:t>
      </w:r>
      <w:r w:rsidRPr="0010726A">
        <w:rPr>
          <w:rFonts w:ascii="Times New Roman" w:eastAsia="Times New Roman" w:hAnsi="Times New Roman" w:cs="Times New Roman"/>
          <w:sz w:val="24"/>
          <w:szCs w:val="24"/>
        </w:rPr>
        <w:t xml:space="preserve"> передбачено дві Програми страхування: </w:t>
      </w:r>
      <w:r w:rsidRPr="001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Travel</w:t>
      </w:r>
      <w:proofErr w:type="spellEnd"/>
      <w:r w:rsidRPr="001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Platinum</w:t>
      </w:r>
      <w:proofErr w:type="spellEnd"/>
      <w:r w:rsidRPr="001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10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Pr="0010726A">
        <w:rPr>
          <w:rFonts w:ascii="Times New Roman" w:hAnsi="Times New Roman" w:cs="Times New Roman"/>
          <w:b/>
          <w:bCs/>
          <w:sz w:val="24"/>
          <w:szCs w:val="24"/>
        </w:rPr>
        <w:t>«VIP-</w:t>
      </w:r>
      <w:proofErr w:type="spellStart"/>
      <w:r w:rsidRPr="0010726A">
        <w:rPr>
          <w:rFonts w:ascii="Times New Roman" w:hAnsi="Times New Roman" w:cs="Times New Roman"/>
          <w:b/>
          <w:bCs/>
          <w:sz w:val="24"/>
          <w:szCs w:val="24"/>
        </w:rPr>
        <w:t>Bank</w:t>
      </w:r>
      <w:proofErr w:type="spellEnd"/>
      <w:r w:rsidRPr="0010726A">
        <w:rPr>
          <w:rFonts w:ascii="Times New Roman" w:hAnsi="Times New Roman" w:cs="Times New Roman"/>
          <w:bCs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A4C">
        <w:rPr>
          <w:rFonts w:ascii="Times New Roman" w:hAnsi="Times New Roman" w:cs="Times New Roman"/>
          <w:bCs/>
          <w:sz w:val="24"/>
          <w:szCs w:val="24"/>
        </w:rPr>
        <w:t xml:space="preserve">Продуктом для банку </w:t>
      </w:r>
      <w:r w:rsidRPr="001E5A4C">
        <w:rPr>
          <w:rFonts w:ascii="Times New Roman" w:hAnsi="Times New Roman" w:cs="Times New Roman"/>
          <w:b/>
          <w:bCs/>
          <w:sz w:val="24"/>
          <w:szCs w:val="24"/>
        </w:rPr>
        <w:t>РАДАБАНК</w:t>
      </w:r>
      <w:r w:rsidRPr="001E5A4C">
        <w:rPr>
          <w:rFonts w:ascii="Times New Roman" w:hAnsi="Times New Roman" w:cs="Times New Roman"/>
          <w:bCs/>
          <w:sz w:val="24"/>
          <w:szCs w:val="24"/>
        </w:rPr>
        <w:t xml:space="preserve"> передбачено дві Програми страхування: </w:t>
      </w:r>
      <w:r w:rsidRPr="001E5A4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Classic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E5A4C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 w:rsidRPr="001E5A4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Gold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5A4C">
        <w:rPr>
          <w:rFonts w:ascii="Times New Roman" w:hAnsi="Times New Roman" w:cs="Times New Roman"/>
          <w:bCs/>
          <w:sz w:val="24"/>
          <w:szCs w:val="24"/>
        </w:rPr>
        <w:t xml:space="preserve">Продуктом для банку 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Креді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Агріколь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 xml:space="preserve"> Банк</w:t>
      </w:r>
      <w:r w:rsidRPr="001E5A4C">
        <w:rPr>
          <w:rFonts w:ascii="Times New Roman" w:hAnsi="Times New Roman" w:cs="Times New Roman"/>
          <w:bCs/>
          <w:sz w:val="24"/>
          <w:szCs w:val="24"/>
        </w:rPr>
        <w:t xml:space="preserve"> передбачено дві Програми страхування: «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Travel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Package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Smart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>/Premium/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Voyage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Force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 xml:space="preserve">)» </w:t>
      </w:r>
      <w:r w:rsidRPr="001E5A4C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r w:rsidRPr="001E5A4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Package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elite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1E5A4C">
        <w:rPr>
          <w:rFonts w:ascii="Times New Roman" w:hAnsi="Times New Roman" w:cs="Times New Roman"/>
          <w:b/>
          <w:bCs/>
          <w:sz w:val="24"/>
          <w:szCs w:val="24"/>
        </w:rPr>
        <w:t>infinite</w:t>
      </w:r>
      <w:proofErr w:type="spellEnd"/>
      <w:r w:rsidRPr="001E5A4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34FB304C" w14:textId="77777777" w:rsidTr="001E5A4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08C6280D" w14:textId="77777777" w:rsidR="00813503" w:rsidRPr="00557C5C" w:rsidRDefault="00813503" w:rsidP="00813503">
            <w:pPr>
              <w:numPr>
                <w:ilvl w:val="0"/>
                <w:numId w:val="5"/>
              </w:numPr>
              <w:spacing w:before="2" w:after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Мінімальний та максимальний розміри страхової суми (ліміту відповідальності)</w:t>
            </w:r>
          </w:p>
        </w:tc>
      </w:tr>
    </w:tbl>
    <w:p w14:paraId="0253762A" w14:textId="77777777" w:rsidR="001E5A4C" w:rsidRDefault="001E5A4C" w:rsidP="00813503">
      <w:pPr>
        <w:widowControl w:val="0"/>
        <w:autoSpaceDE w:val="0"/>
        <w:autoSpaceDN w:val="0"/>
        <w:spacing w:before="2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86B0A" w14:textId="22D219A1" w:rsidR="001E5A4C" w:rsidRPr="001E5A4C" w:rsidRDefault="001E5A4C" w:rsidP="00813503">
      <w:pPr>
        <w:widowControl w:val="0"/>
        <w:autoSpaceDE w:val="0"/>
        <w:autoSpaceDN w:val="0"/>
        <w:spacing w:before="2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A4C">
        <w:rPr>
          <w:rFonts w:ascii="Times New Roman" w:eastAsia="Times New Roman" w:hAnsi="Times New Roman" w:cs="Times New Roman"/>
          <w:sz w:val="24"/>
          <w:szCs w:val="24"/>
        </w:rPr>
        <w:t xml:space="preserve">Для продукту </w:t>
      </w:r>
      <w:r w:rsidRPr="001E5A4C">
        <w:rPr>
          <w:rFonts w:ascii="Times New Roman" w:eastAsia="Times New Roman" w:hAnsi="Times New Roman" w:cs="Times New Roman"/>
          <w:b/>
          <w:sz w:val="24"/>
          <w:szCs w:val="24"/>
        </w:rPr>
        <w:t>ПРАВЕКС БАНК</w:t>
      </w:r>
    </w:p>
    <w:tbl>
      <w:tblPr>
        <w:tblStyle w:val="a5"/>
        <w:tblpPr w:leftFromText="180" w:rightFromText="180" w:vertAnchor="text" w:horzAnchor="margin" w:tblpXSpec="center" w:tblpY="7"/>
        <w:tblW w:w="7062" w:type="dxa"/>
        <w:tblBorders>
          <w:top w:val="single" w:sz="4" w:space="0" w:color="103184"/>
          <w:left w:val="single" w:sz="4" w:space="0" w:color="103184"/>
          <w:bottom w:val="single" w:sz="4" w:space="0" w:color="103184"/>
          <w:right w:val="single" w:sz="4" w:space="0" w:color="103184"/>
          <w:insideH w:val="single" w:sz="4" w:space="0" w:color="103184"/>
          <w:insideV w:val="single" w:sz="4" w:space="0" w:color="103184"/>
        </w:tblBorders>
        <w:tblLook w:val="04A0" w:firstRow="1" w:lastRow="0" w:firstColumn="1" w:lastColumn="0" w:noHBand="0" w:noVBand="1"/>
      </w:tblPr>
      <w:tblGrid>
        <w:gridCol w:w="5430"/>
        <w:gridCol w:w="1632"/>
      </w:tblGrid>
      <w:tr w:rsidR="00EB5423" w:rsidRPr="00557C5C" w14:paraId="527319AA" w14:textId="77777777" w:rsidTr="000E3B5B">
        <w:trPr>
          <w:trHeight w:val="416"/>
        </w:trPr>
        <w:tc>
          <w:tcPr>
            <w:tcW w:w="5430" w:type="dxa"/>
            <w:vAlign w:val="center"/>
          </w:tcPr>
          <w:p w14:paraId="66E80EDA" w14:textId="77777777" w:rsidR="00EB5423" w:rsidRPr="002F62E9" w:rsidRDefault="00EB5423" w:rsidP="00EB542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2E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Програма страхування</w:t>
            </w:r>
          </w:p>
        </w:tc>
        <w:tc>
          <w:tcPr>
            <w:tcW w:w="1632" w:type="dxa"/>
            <w:vAlign w:val="center"/>
          </w:tcPr>
          <w:p w14:paraId="6F8EC045" w14:textId="77777777" w:rsidR="00EB5423" w:rsidRPr="002F62E9" w:rsidRDefault="00EB5423" w:rsidP="00EB542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Страхова сума, EUR</w:t>
            </w:r>
          </w:p>
        </w:tc>
      </w:tr>
      <w:tr w:rsidR="00EB5423" w:rsidRPr="00557C5C" w14:paraId="1E4A0854" w14:textId="77777777" w:rsidTr="000E3B5B">
        <w:trPr>
          <w:trHeight w:val="274"/>
        </w:trPr>
        <w:tc>
          <w:tcPr>
            <w:tcW w:w="5430" w:type="dxa"/>
            <w:vAlign w:val="center"/>
          </w:tcPr>
          <w:p w14:paraId="24AC7FAD" w14:textId="77777777" w:rsidR="00EB5423" w:rsidRPr="002F62E9" w:rsidRDefault="00EB5423" w:rsidP="00EB542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2F6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Travel</w:t>
            </w:r>
            <w:proofErr w:type="spellEnd"/>
            <w:r w:rsidRPr="002F6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6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Platinum</w:t>
            </w:r>
            <w:proofErr w:type="spellEnd"/>
            <w:r w:rsidRPr="002F6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632" w:type="dxa"/>
            <w:vAlign w:val="center"/>
          </w:tcPr>
          <w:p w14:paraId="08AADF6D" w14:textId="77777777" w:rsidR="00EB5423" w:rsidRPr="002F62E9" w:rsidRDefault="00EB5423" w:rsidP="00EB542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2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50 000</w:t>
            </w:r>
          </w:p>
        </w:tc>
      </w:tr>
      <w:tr w:rsidR="00EB5423" w:rsidRPr="00557C5C" w14:paraId="79CFA5D4" w14:textId="77777777" w:rsidTr="000E3B5B">
        <w:trPr>
          <w:trHeight w:val="274"/>
        </w:trPr>
        <w:tc>
          <w:tcPr>
            <w:tcW w:w="5430" w:type="dxa"/>
            <w:vAlign w:val="center"/>
          </w:tcPr>
          <w:p w14:paraId="192E4D0B" w14:textId="77777777" w:rsidR="00EB5423" w:rsidRPr="002F62E9" w:rsidRDefault="00EB5423" w:rsidP="00EB542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2F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VIP-</w:t>
            </w:r>
            <w:proofErr w:type="spellStart"/>
            <w:r w:rsidRPr="002F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Bank</w:t>
            </w:r>
            <w:proofErr w:type="spellEnd"/>
            <w:r w:rsidRPr="002F6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632" w:type="dxa"/>
            <w:vAlign w:val="center"/>
          </w:tcPr>
          <w:p w14:paraId="204E6043" w14:textId="77777777" w:rsidR="00EB5423" w:rsidRPr="002F62E9" w:rsidRDefault="00EB5423" w:rsidP="00EB542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2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50 000</w:t>
            </w:r>
          </w:p>
        </w:tc>
      </w:tr>
    </w:tbl>
    <w:p w14:paraId="2E19BEC3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80559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1FE40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3ABB4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ED2B0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5698D" w14:textId="77777777" w:rsidR="00EB5423" w:rsidRPr="00EB5423" w:rsidRDefault="00EB5423" w:rsidP="00EB5423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 xml:space="preserve">Ліміти відповідальності за окремими опціями за Програмою </w:t>
      </w:r>
      <w:r w:rsidRPr="00EB5423">
        <w:rPr>
          <w:rFonts w:ascii="Times New Roman" w:eastAsia="Calibri" w:hAnsi="Times New Roman" w:cs="Times New Roman"/>
          <w:b/>
          <w:bCs/>
          <w:sz w:val="24"/>
          <w:szCs w:val="24"/>
        </w:rPr>
        <w:t>«VIP-</w:t>
      </w:r>
      <w:proofErr w:type="spellStart"/>
      <w:r w:rsidRPr="00EB5423">
        <w:rPr>
          <w:rFonts w:ascii="Times New Roman" w:eastAsia="Calibri" w:hAnsi="Times New Roman" w:cs="Times New Roman"/>
          <w:b/>
          <w:bCs/>
          <w:sz w:val="24"/>
          <w:szCs w:val="24"/>
        </w:rPr>
        <w:t>Bank</w:t>
      </w:r>
      <w:proofErr w:type="spellEnd"/>
      <w:r w:rsidRPr="00EB5423">
        <w:rPr>
          <w:rFonts w:ascii="Times New Roman" w:eastAsia="Calibri" w:hAnsi="Times New Roman" w:cs="Times New Roman"/>
          <w:bCs/>
          <w:sz w:val="24"/>
          <w:szCs w:val="24"/>
        </w:rPr>
        <w:t>»:</w:t>
      </w:r>
    </w:p>
    <w:p w14:paraId="731F283A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Невідкладна стоматологічна допомога – 200 Євро;</w:t>
      </w:r>
    </w:p>
    <w:p w14:paraId="0D572964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lastRenderedPageBreak/>
        <w:t>Невідкладна гінекологічна і акушерська допомога у строк вагітності, що не перевищує 30 тижнів вагітності – 50000 Євро;</w:t>
      </w:r>
    </w:p>
    <w:p w14:paraId="63DB9F97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Організація передачі термінових повідомлень, пов’язаних із страховим випадком – 20 Євро;</w:t>
      </w:r>
    </w:p>
    <w:p w14:paraId="7B8661E2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Надзвичайний приїзд третьої особи – 500 Євро;</w:t>
      </w:r>
    </w:p>
    <w:p w14:paraId="6D6608DE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Відшкодування при затримці вильоту авіарейсу на термін, більше 4 годин – 300 Євро;</w:t>
      </w:r>
    </w:p>
    <w:p w14:paraId="7E6F30E5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Відшкодування при затримці багажу на термін, більше 24 годин - 300 Євро;</w:t>
      </w:r>
    </w:p>
    <w:p w14:paraId="0AB3B1F6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Виплата при втраті особистих документів - 300 Євро;</w:t>
      </w:r>
    </w:p>
    <w:p w14:paraId="2ABEEC15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Виплата при повному знищенні зареєстрованого місця багажу (тара та вміст багажу у сукупності), окрім ручної поклажі (100 EUR за кожне місце багажу) - 300 Євро;</w:t>
      </w:r>
    </w:p>
    <w:p w14:paraId="7973A091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Надзвичайне подовження перебування - 500 Євро;</w:t>
      </w:r>
    </w:p>
    <w:p w14:paraId="63E3CAB1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Дострокове повернення (проїзд економічним класом) Застрахованої особи у випадку смерті близького родича - 500 Євро;</w:t>
      </w:r>
    </w:p>
    <w:p w14:paraId="34E3D76C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Візит третьої особи, коли тривалість перебування Застрахованої особи у стаціонарі перевищує 10 діб (відшкодовується вартість квитків в економічному класі, проживання в готелі до 3-х діб) - 500 Євро;</w:t>
      </w:r>
    </w:p>
    <w:p w14:paraId="23CC0C06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Транспортування дитини (дітей) Застрахованої особи віком до 15 років до місця постійного проживання – 1000 Євро;</w:t>
      </w:r>
    </w:p>
    <w:p w14:paraId="65F60816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Буксирування транспортного засобу – 300 Євро;</w:t>
      </w:r>
    </w:p>
    <w:p w14:paraId="2AA11FE4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Надання послуг адвоката в адміністративних процесах - 1000 Євро;</w:t>
      </w:r>
    </w:p>
    <w:p w14:paraId="025136E3" w14:textId="77777777" w:rsidR="000E4484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Внесення застави - 1000 Євро.</w:t>
      </w:r>
    </w:p>
    <w:p w14:paraId="00B359C4" w14:textId="77777777" w:rsidR="00EB5423" w:rsidRPr="00EB5423" w:rsidRDefault="00EB5423" w:rsidP="00EB5423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 xml:space="preserve">Ліміти відповідальності за окремими опціями за Програмою </w:t>
      </w:r>
      <w:r w:rsidRPr="00EB5423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EB5423">
        <w:rPr>
          <w:rFonts w:ascii="Times New Roman" w:eastAsia="Calibri" w:hAnsi="Times New Roman" w:cs="Times New Roman"/>
          <w:b/>
          <w:sz w:val="24"/>
          <w:szCs w:val="24"/>
        </w:rPr>
        <w:t>Travel</w:t>
      </w:r>
      <w:proofErr w:type="spellEnd"/>
      <w:r w:rsidRPr="00EB54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5423">
        <w:rPr>
          <w:rFonts w:ascii="Times New Roman" w:eastAsia="Calibri" w:hAnsi="Times New Roman" w:cs="Times New Roman"/>
          <w:b/>
          <w:bCs/>
          <w:sz w:val="24"/>
          <w:szCs w:val="24"/>
        </w:rPr>
        <w:t>Platinum</w:t>
      </w:r>
      <w:proofErr w:type="spellEnd"/>
      <w:r w:rsidRPr="00EB5423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EB542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B8769A0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Невідкладна стоматологічна допомога – 200 Євро;</w:t>
      </w:r>
    </w:p>
    <w:p w14:paraId="14EC2385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Невідкладна гінекологічна і акушерська допомога у строк вагітності, що не перевищує 30 тижнів вагітності – 50000 Євро;</w:t>
      </w:r>
    </w:p>
    <w:p w14:paraId="421B6A7A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Організація передачі термінових повідомлень, пов’язаних із страховим випадком – 20 Євро;</w:t>
      </w:r>
    </w:p>
    <w:p w14:paraId="30D096E6" w14:textId="77777777" w:rsidR="003D18EE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Надзвичайний приїзд третьої особи – 500 Євро;</w:t>
      </w:r>
    </w:p>
    <w:p w14:paraId="4D39C175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bCs/>
          <w:sz w:val="24"/>
          <w:szCs w:val="24"/>
        </w:rPr>
        <w:t>Відшкодування при затримці авіарейсу на термін, більше 4 годин</w:t>
      </w:r>
      <w:r w:rsidRPr="00EB5423">
        <w:rPr>
          <w:rFonts w:ascii="Times New Roman" w:eastAsia="Calibri" w:hAnsi="Times New Roman" w:cs="Times New Roman"/>
          <w:sz w:val="24"/>
          <w:szCs w:val="24"/>
        </w:rPr>
        <w:t xml:space="preserve"> – 300 Євро;</w:t>
      </w:r>
    </w:p>
    <w:p w14:paraId="3BBF7F6B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bCs/>
          <w:sz w:val="24"/>
          <w:szCs w:val="24"/>
        </w:rPr>
        <w:t>Відшкодування при затримці багажу на термін, більше 24 годин</w:t>
      </w:r>
      <w:r w:rsidRPr="00EB5423">
        <w:rPr>
          <w:rFonts w:ascii="Times New Roman" w:eastAsia="Calibri" w:hAnsi="Times New Roman" w:cs="Times New Roman"/>
          <w:sz w:val="24"/>
          <w:szCs w:val="24"/>
        </w:rPr>
        <w:t xml:space="preserve"> – 300 Євро;</w:t>
      </w:r>
    </w:p>
    <w:p w14:paraId="3C880483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Виплата при втраті особистих документів – 300 Євро;</w:t>
      </w:r>
    </w:p>
    <w:p w14:paraId="4921EADC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bCs/>
          <w:sz w:val="24"/>
          <w:szCs w:val="24"/>
        </w:rPr>
        <w:t>Виплата при повному знищенні (втраті) зареєстрованого місця багажу (тара та вміст багажу у сукупності), окрім ручної поклажі</w:t>
      </w:r>
      <w:r w:rsidRPr="00EB54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B5423">
        <w:rPr>
          <w:rFonts w:ascii="Times New Roman" w:eastAsia="Calibri" w:hAnsi="Times New Roman" w:cs="Times New Roman"/>
          <w:sz w:val="24"/>
          <w:szCs w:val="24"/>
        </w:rPr>
        <w:t>– 300 Євро;</w:t>
      </w:r>
    </w:p>
    <w:p w14:paraId="353BC886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Надзвичайне подовження перебування - 500 Євро;</w:t>
      </w:r>
    </w:p>
    <w:p w14:paraId="518884E9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Приїзд одного з близьких родичів Застрахованої особи – 500 Євро;</w:t>
      </w:r>
    </w:p>
    <w:p w14:paraId="7D5FBC60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Дострокове повернення (проїзд економічним класом) Застрахованої особи у випадку смерті близького родича – 500 Євро;</w:t>
      </w:r>
    </w:p>
    <w:p w14:paraId="5CCAB7FE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Поїздка для заміщення хворого (Застрахованого), який знаходиться у стаціонарі, перебуваючи у відрядженні (відшкодовується вартість квитків в економічному класі, проживання в готелі до 3-х діб) – 500 Євро;</w:t>
      </w:r>
    </w:p>
    <w:p w14:paraId="680174B2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Візит третьої особи, коли тривалість перебування Застрахованої особи у стаціонарі перевищує 10 діб (відшкодовується вартість квитків в економічному класі, проживання в готелі до 3-х діб – 500 Євро;</w:t>
      </w:r>
    </w:p>
    <w:p w14:paraId="1AE6C04F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Транспортування дитини (дітей) Застрахованої особи віком до 15 років до місця постійного проживання – 1000 Євро;</w:t>
      </w:r>
    </w:p>
    <w:p w14:paraId="216C62E7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Травматичні ушкодження внаслідок заняття спортом (непрофесійно) – 50000 Євро;</w:t>
      </w:r>
    </w:p>
    <w:p w14:paraId="561B0757" w14:textId="77777777" w:rsidR="00EB5423" w:rsidRPr="00EB5423" w:rsidRDefault="00EB5423" w:rsidP="00EB54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Викрадення орендованого спорядження – 300 Євро;</w:t>
      </w:r>
    </w:p>
    <w:p w14:paraId="65F5831F" w14:textId="5C376038" w:rsidR="00813503" w:rsidRDefault="00EB5423" w:rsidP="00EB5423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Відшкодування витрат пов’язаних з вимушеним поверненням Застрахованої особи до країни постійного проживання – 500 Євро.</w:t>
      </w:r>
    </w:p>
    <w:p w14:paraId="490275E7" w14:textId="7E7201E5" w:rsid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281D7B" w14:textId="77777777" w:rsidR="00564FA1" w:rsidRDefault="00564FA1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FEA8E0" w14:textId="77777777" w:rsidR="00564FA1" w:rsidRDefault="00564FA1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7463CB" w14:textId="77777777" w:rsidR="00564FA1" w:rsidRDefault="00564FA1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0B5544" w14:textId="77777777" w:rsidR="00564FA1" w:rsidRDefault="00564FA1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7B102B" w14:textId="67252BB9" w:rsidR="001E5A4C" w:rsidRP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210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Для продукту </w:t>
      </w:r>
      <w:r w:rsidRPr="00A9210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РАДАБАНК</w:t>
      </w:r>
    </w:p>
    <w:tbl>
      <w:tblPr>
        <w:tblW w:w="6237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3485"/>
      </w:tblGrid>
      <w:tr w:rsidR="001E5A4C" w:rsidRPr="001E5A4C" w14:paraId="6E7CECFC" w14:textId="77777777" w:rsidTr="00564FA1">
        <w:trPr>
          <w:trHeight w:val="470"/>
        </w:trPr>
        <w:tc>
          <w:tcPr>
            <w:tcW w:w="2752" w:type="dxa"/>
            <w:vAlign w:val="center"/>
          </w:tcPr>
          <w:p w14:paraId="5E697488" w14:textId="56E8E2BA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5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Програма страхування</w:t>
            </w:r>
          </w:p>
        </w:tc>
        <w:tc>
          <w:tcPr>
            <w:tcW w:w="3485" w:type="dxa"/>
            <w:vAlign w:val="center"/>
          </w:tcPr>
          <w:p w14:paraId="0EA86D7C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5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Страхова сума, EUR</w:t>
            </w:r>
          </w:p>
        </w:tc>
      </w:tr>
      <w:tr w:rsidR="001E5A4C" w:rsidRPr="001E5A4C" w14:paraId="30DF221D" w14:textId="77777777" w:rsidTr="00564FA1">
        <w:trPr>
          <w:trHeight w:val="470"/>
        </w:trPr>
        <w:tc>
          <w:tcPr>
            <w:tcW w:w="2752" w:type="dxa"/>
            <w:vAlign w:val="center"/>
          </w:tcPr>
          <w:p w14:paraId="499C6F90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5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E5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Classic</w:t>
            </w:r>
            <w:proofErr w:type="spellEnd"/>
            <w:r w:rsidRPr="001E5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85" w:type="dxa"/>
            <w:vAlign w:val="center"/>
          </w:tcPr>
          <w:p w14:paraId="1170D66F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5A4C">
              <w:rPr>
                <w:rFonts w:ascii="Times New Roman" w:eastAsia="Calibri" w:hAnsi="Times New Roman" w:cs="Times New Roman"/>
                <w:sz w:val="24"/>
                <w:szCs w:val="24"/>
              </w:rPr>
              <w:t>30 000</w:t>
            </w:r>
          </w:p>
        </w:tc>
      </w:tr>
      <w:tr w:rsidR="001E5A4C" w:rsidRPr="001E5A4C" w14:paraId="75E79D54" w14:textId="77777777" w:rsidTr="00564FA1">
        <w:trPr>
          <w:trHeight w:val="470"/>
        </w:trPr>
        <w:tc>
          <w:tcPr>
            <w:tcW w:w="2752" w:type="dxa"/>
            <w:vAlign w:val="center"/>
          </w:tcPr>
          <w:p w14:paraId="7B2C7871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5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1E5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Gold</w:t>
            </w:r>
            <w:proofErr w:type="spellEnd"/>
            <w:r w:rsidRPr="001E5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485" w:type="dxa"/>
            <w:vAlign w:val="center"/>
          </w:tcPr>
          <w:p w14:paraId="741572F2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5A4C">
              <w:rPr>
                <w:rFonts w:ascii="Times New Roman" w:eastAsia="Calibri" w:hAnsi="Times New Roman" w:cs="Times New Roman"/>
                <w:sz w:val="24"/>
                <w:szCs w:val="24"/>
              </w:rPr>
              <w:t>30 000</w:t>
            </w:r>
          </w:p>
        </w:tc>
      </w:tr>
    </w:tbl>
    <w:p w14:paraId="37D0AE0E" w14:textId="77777777" w:rsid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B8DF40" w14:textId="77777777" w:rsidR="001E5A4C" w:rsidRP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Ліміти відповідальності за окремими опціями за Програмою </w:t>
      </w:r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Classic</w:t>
      </w:r>
      <w:proofErr w:type="spellEnd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594F73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Невідкладна стоматологічна допомога – 100 Євро;</w:t>
      </w:r>
    </w:p>
    <w:p w14:paraId="7849C744" w14:textId="77777777" w:rsidR="001E5A4C" w:rsidRP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Ліміти відповідальності за окремими опціями за Програмою </w:t>
      </w:r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Gold</w:t>
      </w:r>
      <w:proofErr w:type="spellEnd"/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6E6966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Невідкладна стоматологічна допомога – 150 Євро;</w:t>
      </w:r>
    </w:p>
    <w:p w14:paraId="43CE44E6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передачі термінових повідомлень, пов’язаних із страховим випадком – 10 Євро;</w:t>
      </w:r>
    </w:p>
    <w:p w14:paraId="5B35F309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Надзвичайний приїзд третьої особи – 500 Євро;</w:t>
      </w:r>
    </w:p>
    <w:p w14:paraId="3FB9850C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 при затримці вильоту авіарейсу на термін, більше 4 годин – 200 Євро;</w:t>
      </w:r>
    </w:p>
    <w:p w14:paraId="4B3202F6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 при затримці багажу на термін, більше 24 годин – 150 Євро;</w:t>
      </w:r>
    </w:p>
    <w:p w14:paraId="58A87CE5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Виплата при втраті особистих документів – 300 Євро;</w:t>
      </w:r>
    </w:p>
    <w:p w14:paraId="16B43965" w14:textId="6D8E78B5" w:rsidR="00EB5423" w:rsidRDefault="001E5A4C" w:rsidP="001E5A4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Виплата при повному знищенні зареєстрованого місця багажу (тара та вміст багажу у сукупності), окрім ручної поклажі (100 EUR за кожне місце багажу) – 300 Євро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B9B39D" w14:textId="1C6E88DE" w:rsid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AAF7C" w14:textId="10518EE5" w:rsid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продукту </w:t>
      </w:r>
      <w:proofErr w:type="spellStart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Креді</w:t>
      </w:r>
      <w:proofErr w:type="spellEnd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Агріколь</w:t>
      </w:r>
      <w:proofErr w:type="spellEnd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Банк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1E5A4C" w:rsidRPr="001E5A4C" w14:paraId="08701F18" w14:textId="77777777" w:rsidTr="00FC2D3E">
        <w:trPr>
          <w:trHeight w:val="158"/>
        </w:trPr>
        <w:tc>
          <w:tcPr>
            <w:tcW w:w="3045" w:type="dxa"/>
            <w:vAlign w:val="center"/>
          </w:tcPr>
          <w:p w14:paraId="71BF15CE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Програма страхування</w:t>
            </w:r>
          </w:p>
        </w:tc>
        <w:tc>
          <w:tcPr>
            <w:tcW w:w="3045" w:type="dxa"/>
            <w:vAlign w:val="center"/>
          </w:tcPr>
          <w:p w14:paraId="4AB47818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Страхова сума, EUR (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Асистанс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E5A4C" w:rsidRPr="001E5A4C" w14:paraId="7827FFF3" w14:textId="77777777" w:rsidTr="00FC2D3E">
        <w:trPr>
          <w:trHeight w:val="156"/>
        </w:trPr>
        <w:tc>
          <w:tcPr>
            <w:tcW w:w="3045" w:type="dxa"/>
            <w:vAlign w:val="center"/>
          </w:tcPr>
          <w:p w14:paraId="50657E2F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Travel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Package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Smart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/Premium/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Voyage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Force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3045" w:type="dxa"/>
            <w:vAlign w:val="center"/>
          </w:tcPr>
          <w:p w14:paraId="60A6C031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</w:t>
            </w:r>
          </w:p>
        </w:tc>
      </w:tr>
      <w:tr w:rsidR="001E5A4C" w:rsidRPr="001E5A4C" w14:paraId="33DBCA67" w14:textId="77777777" w:rsidTr="00FC2D3E">
        <w:trPr>
          <w:trHeight w:val="156"/>
        </w:trPr>
        <w:tc>
          <w:tcPr>
            <w:tcW w:w="3045" w:type="dxa"/>
            <w:vAlign w:val="center"/>
          </w:tcPr>
          <w:p w14:paraId="3192F98D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Package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elite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infinite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45" w:type="dxa"/>
            <w:vAlign w:val="center"/>
          </w:tcPr>
          <w:p w14:paraId="6E7C5BD4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</w:t>
            </w:r>
          </w:p>
        </w:tc>
      </w:tr>
      <w:tr w:rsidR="001E5A4C" w:rsidRPr="001E5A4C" w14:paraId="715F1621" w14:textId="77777777" w:rsidTr="00FC2D3E">
        <w:trPr>
          <w:trHeight w:val="156"/>
        </w:trPr>
        <w:tc>
          <w:tcPr>
            <w:tcW w:w="3045" w:type="dxa"/>
            <w:vAlign w:val="center"/>
          </w:tcPr>
          <w:p w14:paraId="11F0AAF6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Програма страхування</w:t>
            </w:r>
          </w:p>
        </w:tc>
        <w:tc>
          <w:tcPr>
            <w:tcW w:w="3045" w:type="dxa"/>
            <w:vAlign w:val="center"/>
          </w:tcPr>
          <w:p w14:paraId="58DB552A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Страхова сума, грн (Страхування від нещасних випадків)</w:t>
            </w:r>
          </w:p>
        </w:tc>
      </w:tr>
      <w:tr w:rsidR="001E5A4C" w:rsidRPr="001E5A4C" w14:paraId="3E31ED7B" w14:textId="77777777" w:rsidTr="00FC2D3E">
        <w:trPr>
          <w:trHeight w:val="156"/>
        </w:trPr>
        <w:tc>
          <w:tcPr>
            <w:tcW w:w="3045" w:type="dxa"/>
            <w:vAlign w:val="center"/>
          </w:tcPr>
          <w:p w14:paraId="67E0E313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Package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elite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infinite</w:t>
            </w:r>
            <w:proofErr w:type="spellEnd"/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45" w:type="dxa"/>
            <w:vAlign w:val="center"/>
          </w:tcPr>
          <w:p w14:paraId="3974501B" w14:textId="77777777" w:rsidR="001E5A4C" w:rsidRPr="001E5A4C" w:rsidRDefault="001E5A4C" w:rsidP="001E5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</w:tbl>
    <w:p w14:paraId="6C5BEA8B" w14:textId="5B9E5E3D" w:rsid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61557" w14:textId="77777777" w:rsidR="001E5A4C" w:rsidRP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Ліміти відповідальності за окремими опціями за Програмою </w:t>
      </w:r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Travel</w:t>
      </w:r>
      <w:proofErr w:type="spellEnd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Package</w:t>
      </w:r>
      <w:proofErr w:type="spellEnd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Smart</w:t>
      </w:r>
      <w:proofErr w:type="spellEnd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/Premium/</w:t>
      </w:r>
      <w:proofErr w:type="spellStart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Voyage</w:t>
      </w:r>
      <w:proofErr w:type="spellEnd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La</w:t>
      </w:r>
      <w:proofErr w:type="spellEnd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Force</w:t>
      </w:r>
      <w:proofErr w:type="spellEnd"/>
      <w:r w:rsidRPr="001E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FD807A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Невідкладна стоматологічна допомога – 100 Євро;</w:t>
      </w:r>
    </w:p>
    <w:p w14:paraId="433681F1" w14:textId="77777777" w:rsidR="001E5A4C" w:rsidRPr="001E5A4C" w:rsidRDefault="001E5A4C" w:rsidP="001E5A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Ліміти відповідальності за окремими опціями за Програмою </w:t>
      </w:r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Package</w:t>
      </w:r>
      <w:proofErr w:type="spellEnd"/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elite</w:t>
      </w:r>
      <w:proofErr w:type="spellEnd"/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infinite</w:t>
      </w:r>
      <w:proofErr w:type="spellEnd"/>
      <w:r w:rsidRPr="001E5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23C82E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Невідкладна стоматологічна допомога – 200 Євро;</w:t>
      </w:r>
    </w:p>
    <w:p w14:paraId="00C34716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передачі термінових повідомлень, пов’язаних із страховим випадком – 20 Євро;</w:t>
      </w:r>
    </w:p>
    <w:p w14:paraId="5E8AB736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Надзвичайний приїзд третьої особи – 500 Євро;</w:t>
      </w:r>
    </w:p>
    <w:p w14:paraId="0AA37082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 при затримці вильоту авіарейсу на термін, більше 4 годин – 300 Євро;</w:t>
      </w:r>
    </w:p>
    <w:p w14:paraId="3B1FDAA8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 при затримці багажу на термін, більше 24 годин – 300 Євро;</w:t>
      </w:r>
    </w:p>
    <w:p w14:paraId="5014380C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Виплата при втраті особистих документів – 300 Євро;</w:t>
      </w:r>
    </w:p>
    <w:p w14:paraId="32B6F61B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Виплата при повному знищенні зареєстрованого місця багажу (тара та вміст багажу у сукупності), окрім ручної поклажі (100 EUR за кожне місце багажу) – 300 Євро.</w:t>
      </w:r>
    </w:p>
    <w:p w14:paraId="300C4A2B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Надзвичайне подовження перебування - 500 Євро;</w:t>
      </w:r>
    </w:p>
    <w:p w14:paraId="62861DB9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Дострокове повернення (проїзд економічним класом) Застрахованої особи у випадку смерті близького родича – 500 Євро;</w:t>
      </w:r>
    </w:p>
    <w:p w14:paraId="4E2F34B2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 дитини (дітей) Застрахованої особи віком до 15 років до місця постійного проживання – 1000 Євро;</w:t>
      </w:r>
    </w:p>
    <w:p w14:paraId="04057F7D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захист у випадку дорожньо-транспортної пригоди із Застрахованою особою – 1000 Євро;</w:t>
      </w:r>
    </w:p>
    <w:p w14:paraId="61F88452" w14:textId="77777777" w:rsidR="001E5A4C" w:rsidRPr="001E5A4C" w:rsidRDefault="001E5A4C" w:rsidP="001E5A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 застави за Застраховану особу у разі її арешту в країні перебування – 1000 Євро;</w:t>
      </w:r>
    </w:p>
    <w:p w14:paraId="65922B31" w14:textId="15F93A8C" w:rsidR="001E5A4C" w:rsidRPr="001E5A4C" w:rsidRDefault="001E5A4C" w:rsidP="001E5A4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Буксирування транспортного засобу, непридатного до руху, до найближчої станції технічного обслуговування або автостоянки та ремонт і доставка запасних частин – 500 Євро.</w:t>
      </w:r>
    </w:p>
    <w:p w14:paraId="085FF5F9" w14:textId="77777777" w:rsidR="001E5A4C" w:rsidRPr="00557C5C" w:rsidRDefault="001E5A4C" w:rsidP="00EB54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007DEBCB" w14:textId="77777777" w:rsidTr="000E3B5B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B0A9835" w14:textId="77777777" w:rsidR="00813503" w:rsidRPr="00557C5C" w:rsidRDefault="00813503" w:rsidP="0081350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Мінімальний та максимальний розміри страхової премії та/або страхового тарифу</w:t>
            </w:r>
          </w:p>
        </w:tc>
      </w:tr>
    </w:tbl>
    <w:p w14:paraId="79CB899C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XSpec="center" w:tblpY="78"/>
        <w:tblW w:w="8500" w:type="dxa"/>
        <w:tblBorders>
          <w:top w:val="single" w:sz="4" w:space="0" w:color="103184"/>
          <w:left w:val="single" w:sz="4" w:space="0" w:color="103184"/>
          <w:bottom w:val="single" w:sz="4" w:space="0" w:color="103184"/>
          <w:right w:val="single" w:sz="4" w:space="0" w:color="103184"/>
          <w:insideH w:val="single" w:sz="4" w:space="0" w:color="103184"/>
          <w:insideV w:val="single" w:sz="4" w:space="0" w:color="103184"/>
        </w:tblBorders>
        <w:tblLook w:val="04A0" w:firstRow="1" w:lastRow="0" w:firstColumn="1" w:lastColumn="0" w:noHBand="0" w:noVBand="1"/>
      </w:tblPr>
      <w:tblGrid>
        <w:gridCol w:w="3298"/>
        <w:gridCol w:w="2961"/>
        <w:gridCol w:w="2241"/>
      </w:tblGrid>
      <w:tr w:rsidR="00813503" w:rsidRPr="00EB5423" w14:paraId="70BADDA1" w14:textId="77777777" w:rsidTr="000E3B5B">
        <w:trPr>
          <w:trHeight w:val="416"/>
        </w:trPr>
        <w:tc>
          <w:tcPr>
            <w:tcW w:w="3298" w:type="dxa"/>
            <w:vAlign w:val="center"/>
          </w:tcPr>
          <w:p w14:paraId="106B0EBA" w14:textId="77777777" w:rsidR="00813503" w:rsidRPr="00EB5423" w:rsidRDefault="00813503" w:rsidP="000E3B5B">
            <w:pPr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Програма страхування</w:t>
            </w:r>
          </w:p>
        </w:tc>
        <w:tc>
          <w:tcPr>
            <w:tcW w:w="2961" w:type="dxa"/>
            <w:vAlign w:val="center"/>
          </w:tcPr>
          <w:p w14:paraId="7620A78B" w14:textId="77777777" w:rsidR="00813503" w:rsidRPr="00EB5423" w:rsidRDefault="00813503" w:rsidP="000E3B5B">
            <w:pPr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Страховий тариф, %</w:t>
            </w:r>
          </w:p>
        </w:tc>
        <w:tc>
          <w:tcPr>
            <w:tcW w:w="2241" w:type="dxa"/>
            <w:vAlign w:val="center"/>
          </w:tcPr>
          <w:p w14:paraId="5DC8859E" w14:textId="77777777" w:rsidR="00813503" w:rsidRPr="00EB5423" w:rsidRDefault="00813503" w:rsidP="000E3B5B">
            <w:pPr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Страхова премія, грн</w:t>
            </w:r>
          </w:p>
        </w:tc>
      </w:tr>
      <w:tr w:rsidR="00EB5423" w:rsidRPr="00EB5423" w14:paraId="6DC8C9D8" w14:textId="77777777" w:rsidTr="000E3B5B">
        <w:trPr>
          <w:trHeight w:val="274"/>
        </w:trPr>
        <w:tc>
          <w:tcPr>
            <w:tcW w:w="3298" w:type="dxa"/>
            <w:vAlign w:val="center"/>
          </w:tcPr>
          <w:p w14:paraId="4BD56485" w14:textId="77777777" w:rsidR="00EB5423" w:rsidRPr="00EB5423" w:rsidRDefault="00EB5423" w:rsidP="00EB5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5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EB5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Travel</w:t>
            </w:r>
            <w:proofErr w:type="spellEnd"/>
            <w:r w:rsidRPr="00EB5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5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Platinum</w:t>
            </w:r>
            <w:proofErr w:type="spellEnd"/>
            <w:r w:rsidRPr="00EB5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2961" w:type="dxa"/>
            <w:vAlign w:val="center"/>
          </w:tcPr>
          <w:p w14:paraId="547E260C" w14:textId="758B0490" w:rsidR="00EB5423" w:rsidRPr="00EB5423" w:rsidRDefault="00C77995" w:rsidP="00EB5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79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Вказується в  частині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договору</w:t>
            </w:r>
          </w:p>
        </w:tc>
        <w:tc>
          <w:tcPr>
            <w:tcW w:w="2241" w:type="dxa"/>
            <w:vAlign w:val="center"/>
          </w:tcPr>
          <w:p w14:paraId="06866B23" w14:textId="77777777" w:rsidR="00EB5423" w:rsidRPr="00EB5423" w:rsidRDefault="00EB5423" w:rsidP="00EB5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865</w:t>
            </w:r>
          </w:p>
        </w:tc>
      </w:tr>
      <w:tr w:rsidR="00EB5423" w:rsidRPr="00EB5423" w14:paraId="5A7F5C8A" w14:textId="77777777" w:rsidTr="000E3B5B">
        <w:trPr>
          <w:trHeight w:val="274"/>
        </w:trPr>
        <w:tc>
          <w:tcPr>
            <w:tcW w:w="3298" w:type="dxa"/>
            <w:vAlign w:val="center"/>
          </w:tcPr>
          <w:p w14:paraId="4AF46325" w14:textId="77777777" w:rsidR="00EB5423" w:rsidRPr="00EB5423" w:rsidRDefault="00EB5423" w:rsidP="00EB5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«VIP-</w:t>
            </w:r>
            <w:proofErr w:type="spellStart"/>
            <w:r w:rsidRPr="00EB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Bank</w:t>
            </w:r>
            <w:proofErr w:type="spellEnd"/>
            <w:r w:rsidRPr="00EB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961" w:type="dxa"/>
          </w:tcPr>
          <w:p w14:paraId="1C8C7010" w14:textId="7C2B255D" w:rsidR="00EB5423" w:rsidRPr="00EB5423" w:rsidRDefault="00C77995" w:rsidP="00EB5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79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Вказується в  частині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договору</w:t>
            </w:r>
          </w:p>
        </w:tc>
        <w:tc>
          <w:tcPr>
            <w:tcW w:w="2241" w:type="dxa"/>
            <w:vAlign w:val="center"/>
          </w:tcPr>
          <w:p w14:paraId="52B3E5AF" w14:textId="77777777" w:rsidR="00EB5423" w:rsidRPr="00EB5423" w:rsidRDefault="00EB5423" w:rsidP="00EB5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435</w:t>
            </w:r>
          </w:p>
        </w:tc>
      </w:tr>
    </w:tbl>
    <w:p w14:paraId="630DFE89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AB6E5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742F7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0B40E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84B04" w14:textId="77777777" w:rsidR="00813503" w:rsidRDefault="00813503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028855" w14:textId="4AB153C4" w:rsidR="00813503" w:rsidRDefault="00813503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75B8D" w14:textId="39AFDF6E" w:rsidR="00924929" w:rsidRDefault="00924929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B4313" w14:textId="4FE8E7A6" w:rsidR="00924929" w:rsidRDefault="00924929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268"/>
      </w:tblGrid>
      <w:tr w:rsidR="00924929" w:rsidRPr="0010726A" w14:paraId="2AA49779" w14:textId="77777777" w:rsidTr="00924929">
        <w:trPr>
          <w:trHeight w:val="457"/>
        </w:trPr>
        <w:tc>
          <w:tcPr>
            <w:tcW w:w="3261" w:type="dxa"/>
            <w:vAlign w:val="center"/>
          </w:tcPr>
          <w:p w14:paraId="1B9A44CE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6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Програма страхування</w:t>
            </w:r>
          </w:p>
        </w:tc>
        <w:tc>
          <w:tcPr>
            <w:tcW w:w="2976" w:type="dxa"/>
            <w:vAlign w:val="center"/>
          </w:tcPr>
          <w:p w14:paraId="084E500E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Страховий тариф, %</w:t>
            </w:r>
          </w:p>
        </w:tc>
        <w:tc>
          <w:tcPr>
            <w:tcW w:w="2268" w:type="dxa"/>
            <w:vAlign w:val="center"/>
          </w:tcPr>
          <w:p w14:paraId="3F61EBEC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Страхова премія, грн</w:t>
            </w:r>
          </w:p>
        </w:tc>
      </w:tr>
      <w:tr w:rsidR="00924929" w:rsidRPr="0010726A" w14:paraId="5CB27A23" w14:textId="77777777" w:rsidTr="00924929">
        <w:trPr>
          <w:trHeight w:val="457"/>
        </w:trPr>
        <w:tc>
          <w:tcPr>
            <w:tcW w:w="3261" w:type="dxa"/>
            <w:vAlign w:val="center"/>
          </w:tcPr>
          <w:p w14:paraId="0753D587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1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Classik</w:t>
            </w:r>
            <w:proofErr w:type="spellEnd"/>
            <w:r w:rsidRPr="001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976" w:type="dxa"/>
          </w:tcPr>
          <w:p w14:paraId="363343FB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Вказується в  частині А договору</w:t>
            </w:r>
          </w:p>
        </w:tc>
        <w:tc>
          <w:tcPr>
            <w:tcW w:w="2268" w:type="dxa"/>
            <w:vAlign w:val="center"/>
          </w:tcPr>
          <w:p w14:paraId="67C3C6E7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072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</w:tr>
      <w:tr w:rsidR="00924929" w:rsidRPr="0010726A" w14:paraId="690F4472" w14:textId="77777777" w:rsidTr="00924929">
        <w:trPr>
          <w:trHeight w:val="258"/>
        </w:trPr>
        <w:tc>
          <w:tcPr>
            <w:tcW w:w="3261" w:type="dxa"/>
            <w:vAlign w:val="center"/>
          </w:tcPr>
          <w:p w14:paraId="460471F9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1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10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976" w:type="dxa"/>
          </w:tcPr>
          <w:p w14:paraId="33952E75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Вказується в  частині А договору</w:t>
            </w:r>
          </w:p>
        </w:tc>
        <w:tc>
          <w:tcPr>
            <w:tcW w:w="2268" w:type="dxa"/>
            <w:vAlign w:val="center"/>
          </w:tcPr>
          <w:p w14:paraId="7D23FF8A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072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</w:tr>
    </w:tbl>
    <w:p w14:paraId="350BAA8A" w14:textId="77777777" w:rsidR="00924929" w:rsidRDefault="00924929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268"/>
      </w:tblGrid>
      <w:tr w:rsidR="00924929" w:rsidRPr="0010726A" w14:paraId="7A01138F" w14:textId="77777777" w:rsidTr="00564FA1">
        <w:trPr>
          <w:trHeight w:val="137"/>
        </w:trPr>
        <w:tc>
          <w:tcPr>
            <w:tcW w:w="3261" w:type="dxa"/>
            <w:vAlign w:val="center"/>
          </w:tcPr>
          <w:p w14:paraId="6E792F9E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6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Програма страхування</w:t>
            </w:r>
          </w:p>
        </w:tc>
        <w:tc>
          <w:tcPr>
            <w:tcW w:w="2976" w:type="dxa"/>
            <w:vAlign w:val="center"/>
          </w:tcPr>
          <w:p w14:paraId="3A24A10E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Страховий тариф, %</w:t>
            </w:r>
          </w:p>
        </w:tc>
        <w:tc>
          <w:tcPr>
            <w:tcW w:w="2268" w:type="dxa"/>
            <w:vAlign w:val="center"/>
          </w:tcPr>
          <w:p w14:paraId="2A437C37" w14:textId="15451D37" w:rsidR="00924929" w:rsidRPr="0010726A" w:rsidRDefault="00924929" w:rsidP="00293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Страхова премія, </w:t>
            </w:r>
            <w:r w:rsidR="00293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Євро</w:t>
            </w:r>
          </w:p>
        </w:tc>
      </w:tr>
      <w:tr w:rsidR="00924929" w:rsidRPr="0010726A" w14:paraId="13DBE5F7" w14:textId="77777777" w:rsidTr="00564FA1">
        <w:trPr>
          <w:trHeight w:val="137"/>
        </w:trPr>
        <w:tc>
          <w:tcPr>
            <w:tcW w:w="3261" w:type="dxa"/>
            <w:vAlign w:val="center"/>
          </w:tcPr>
          <w:p w14:paraId="16583D07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Travel</w:t>
            </w:r>
            <w:proofErr w:type="spellEnd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Package</w:t>
            </w:r>
            <w:proofErr w:type="spellEnd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Smart</w:t>
            </w:r>
            <w:proofErr w:type="spellEnd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/Premium/</w:t>
            </w:r>
            <w:proofErr w:type="spellStart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Voyage</w:t>
            </w:r>
            <w:proofErr w:type="spellEnd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La</w:t>
            </w:r>
            <w:proofErr w:type="spellEnd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Force</w:t>
            </w:r>
            <w:proofErr w:type="spellEnd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2976" w:type="dxa"/>
          </w:tcPr>
          <w:p w14:paraId="5229F48F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Вказується в  частині А договору</w:t>
            </w:r>
          </w:p>
        </w:tc>
        <w:tc>
          <w:tcPr>
            <w:tcW w:w="2268" w:type="dxa"/>
            <w:vAlign w:val="center"/>
          </w:tcPr>
          <w:p w14:paraId="2E97E293" w14:textId="34DB05D4" w:rsidR="00924929" w:rsidRPr="0010726A" w:rsidRDefault="00293390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</w:tr>
      <w:tr w:rsidR="00924929" w:rsidRPr="0010726A" w14:paraId="55565164" w14:textId="77777777" w:rsidTr="00564FA1">
        <w:trPr>
          <w:trHeight w:val="137"/>
        </w:trPr>
        <w:tc>
          <w:tcPr>
            <w:tcW w:w="3261" w:type="dxa"/>
            <w:vAlign w:val="center"/>
          </w:tcPr>
          <w:p w14:paraId="7611EFEC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Package</w:t>
            </w:r>
            <w:proofErr w:type="spellEnd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elite</w:t>
            </w:r>
            <w:proofErr w:type="spellEnd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infinite</w:t>
            </w:r>
            <w:proofErr w:type="spellEnd"/>
            <w:r w:rsidRPr="007E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976" w:type="dxa"/>
          </w:tcPr>
          <w:p w14:paraId="292E1D9B" w14:textId="77777777" w:rsidR="00924929" w:rsidRPr="0010726A" w:rsidRDefault="00924929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2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Вказується в  частині А договору</w:t>
            </w:r>
          </w:p>
        </w:tc>
        <w:tc>
          <w:tcPr>
            <w:tcW w:w="2268" w:type="dxa"/>
            <w:vAlign w:val="center"/>
          </w:tcPr>
          <w:p w14:paraId="69329A4C" w14:textId="32685740" w:rsidR="00924929" w:rsidRPr="0010726A" w:rsidRDefault="00293390" w:rsidP="00FC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15,15</w:t>
            </w:r>
          </w:p>
        </w:tc>
      </w:tr>
    </w:tbl>
    <w:p w14:paraId="65E8E431" w14:textId="32870F9B" w:rsidR="00C77995" w:rsidRDefault="00C77995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E850E" w14:textId="77777777" w:rsidR="00C77995" w:rsidRPr="00557C5C" w:rsidRDefault="00C77995" w:rsidP="0081350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9582"/>
      </w:tblGrid>
      <w:tr w:rsidR="00813503" w:rsidRPr="00557C5C" w14:paraId="7D8145FC" w14:textId="77777777" w:rsidTr="000E3B5B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25350158" w14:textId="77777777" w:rsidR="00813503" w:rsidRPr="00557C5C" w:rsidRDefault="00813503" w:rsidP="00813503">
            <w:pPr>
              <w:numPr>
                <w:ilvl w:val="0"/>
                <w:numId w:val="5"/>
              </w:numPr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Вид, мінімальний та максимальний розміри франшизи (за наявності)</w:t>
            </w:r>
          </w:p>
        </w:tc>
      </w:tr>
    </w:tbl>
    <w:p w14:paraId="6366DD84" w14:textId="77777777" w:rsidR="00813503" w:rsidRPr="00557C5C" w:rsidRDefault="00813503" w:rsidP="00EB542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CEC4A" w14:textId="1C85C891" w:rsidR="00813503" w:rsidRPr="001E5A4C" w:rsidRDefault="00EB542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23">
        <w:rPr>
          <w:rFonts w:ascii="Times New Roman" w:eastAsia="Calibri" w:hAnsi="Times New Roman" w:cs="Times New Roman"/>
          <w:sz w:val="24"/>
          <w:szCs w:val="24"/>
        </w:rPr>
        <w:t>Програми страхування</w:t>
      </w:r>
      <w:r w:rsidRPr="00EB54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B542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B5423">
        <w:rPr>
          <w:rFonts w:ascii="Times New Roman" w:eastAsia="Calibri" w:hAnsi="Times New Roman" w:cs="Times New Roman"/>
          <w:bCs/>
          <w:sz w:val="24"/>
          <w:szCs w:val="24"/>
        </w:rPr>
        <w:t>Travel</w:t>
      </w:r>
      <w:proofErr w:type="spellEnd"/>
      <w:r w:rsidRPr="00EB54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B5423">
        <w:rPr>
          <w:rFonts w:ascii="Times New Roman" w:eastAsia="Calibri" w:hAnsi="Times New Roman" w:cs="Times New Roman"/>
          <w:bCs/>
          <w:sz w:val="24"/>
          <w:szCs w:val="24"/>
        </w:rPr>
        <w:t>Platinum</w:t>
      </w:r>
      <w:proofErr w:type="spellEnd"/>
      <w:r w:rsidRPr="00EB5423">
        <w:rPr>
          <w:rFonts w:ascii="Times New Roman" w:eastAsia="Calibri" w:hAnsi="Times New Roman" w:cs="Times New Roman"/>
          <w:sz w:val="24"/>
          <w:szCs w:val="24"/>
        </w:rPr>
        <w:t xml:space="preserve">» та </w:t>
      </w:r>
      <w:r w:rsidRPr="00EB5423">
        <w:rPr>
          <w:rFonts w:ascii="Times New Roman" w:eastAsia="Calibri" w:hAnsi="Times New Roman" w:cs="Times New Roman"/>
          <w:bCs/>
          <w:sz w:val="24"/>
          <w:szCs w:val="24"/>
        </w:rPr>
        <w:t>«VIP-</w:t>
      </w:r>
      <w:proofErr w:type="spellStart"/>
      <w:r w:rsidRPr="00EB5423">
        <w:rPr>
          <w:rFonts w:ascii="Times New Roman" w:eastAsia="Calibri" w:hAnsi="Times New Roman" w:cs="Times New Roman"/>
          <w:bCs/>
          <w:sz w:val="24"/>
          <w:szCs w:val="24"/>
        </w:rPr>
        <w:t>Bank</w:t>
      </w:r>
      <w:proofErr w:type="spellEnd"/>
      <w:r w:rsidRPr="00EB5423">
        <w:rPr>
          <w:rFonts w:ascii="Times New Roman" w:eastAsia="Calibri" w:hAnsi="Times New Roman" w:cs="Times New Roman"/>
          <w:bCs/>
          <w:sz w:val="24"/>
          <w:szCs w:val="24"/>
        </w:rPr>
        <w:t xml:space="preserve"> » </w:t>
      </w:r>
      <w:r w:rsidRPr="00EB5423">
        <w:rPr>
          <w:rFonts w:ascii="Times New Roman" w:eastAsia="Calibri" w:hAnsi="Times New Roman" w:cs="Times New Roman"/>
          <w:sz w:val="24"/>
          <w:szCs w:val="24"/>
        </w:rPr>
        <w:t>передбачають франшизу 0</w:t>
      </w:r>
      <w:r w:rsidR="001E5A4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6C2416" w14:textId="09BB700C" w:rsidR="001E5A4C" w:rsidRDefault="001E5A4C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0726A">
        <w:rPr>
          <w:rFonts w:ascii="Times New Roman" w:eastAsia="Times New Roman" w:hAnsi="Times New Roman" w:cs="Times New Roman"/>
          <w:sz w:val="24"/>
          <w:szCs w:val="24"/>
        </w:rPr>
        <w:t>рограми страхування</w:t>
      </w:r>
      <w:r w:rsidRPr="00107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72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0726A">
        <w:rPr>
          <w:rFonts w:ascii="Times New Roman" w:hAnsi="Times New Roman" w:cs="Times New Roman"/>
          <w:bCs/>
          <w:sz w:val="24"/>
          <w:szCs w:val="24"/>
        </w:rPr>
        <w:t>Classic</w:t>
      </w:r>
      <w:proofErr w:type="spellEnd"/>
      <w:r w:rsidRPr="0010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</w:t>
      </w:r>
      <w:r w:rsidRPr="0010726A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10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Gold</w:t>
      </w:r>
      <w:proofErr w:type="spellEnd"/>
      <w:r w:rsidRPr="0010726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10726A">
        <w:rPr>
          <w:rFonts w:ascii="Times New Roman" w:eastAsia="Times New Roman" w:hAnsi="Times New Roman" w:cs="Times New Roman"/>
          <w:sz w:val="24"/>
          <w:szCs w:val="24"/>
        </w:rPr>
        <w:t>передбачають франшизу 0;</w:t>
      </w:r>
    </w:p>
    <w:p w14:paraId="76C62199" w14:textId="7B8B7DA3" w:rsidR="001E5A4C" w:rsidRDefault="001E5A4C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0726A">
        <w:rPr>
          <w:rFonts w:ascii="Times New Roman" w:eastAsia="Times New Roman" w:hAnsi="Times New Roman" w:cs="Times New Roman"/>
          <w:sz w:val="24"/>
          <w:szCs w:val="24"/>
        </w:rPr>
        <w:t>рограми страхування</w:t>
      </w:r>
      <w:r w:rsidRPr="00107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Travel</w:t>
      </w:r>
      <w:proofErr w:type="spellEnd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Package</w:t>
      </w:r>
      <w:proofErr w:type="spellEnd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Smart</w:t>
      </w:r>
      <w:proofErr w:type="spellEnd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/Premium/</w:t>
      </w:r>
      <w:proofErr w:type="spellStart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Voyage</w:t>
      </w:r>
      <w:proofErr w:type="spellEnd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La</w:t>
      </w:r>
      <w:proofErr w:type="spellEnd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Force</w:t>
      </w:r>
      <w:proofErr w:type="spellEnd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)» та «</w:t>
      </w:r>
      <w:proofErr w:type="spellStart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Package</w:t>
      </w:r>
      <w:proofErr w:type="spellEnd"/>
      <w:r w:rsidRPr="007E350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E350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elite</w:t>
      </w:r>
      <w:proofErr w:type="spellEnd"/>
      <w:r w:rsidRPr="007E350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7E350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infinite</w:t>
      </w:r>
      <w:proofErr w:type="spellEnd"/>
      <w:r w:rsidRPr="007E3500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0726A">
        <w:rPr>
          <w:rFonts w:ascii="Times New Roman" w:eastAsia="Times New Roman" w:hAnsi="Times New Roman" w:cs="Times New Roman"/>
          <w:sz w:val="24"/>
          <w:szCs w:val="24"/>
        </w:rPr>
        <w:t>передбачають франшизу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0.</w:t>
      </w:r>
    </w:p>
    <w:p w14:paraId="2E11BCD5" w14:textId="77777777" w:rsidR="00813503" w:rsidRPr="00200A6E" w:rsidRDefault="00813503" w:rsidP="00813503">
      <w:pPr>
        <w:widowControl w:val="0"/>
        <w:autoSpaceDE w:val="0"/>
        <w:autoSpaceDN w:val="0"/>
        <w:spacing w:after="0" w:line="240" w:lineRule="auto"/>
        <w:ind w:left="14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26696D5D" w14:textId="77777777" w:rsidTr="00A5315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9860B38" w14:textId="77777777" w:rsidR="00813503" w:rsidRPr="00557C5C" w:rsidRDefault="00813503" w:rsidP="0081350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Територія та строк дії договору страхування [включаючи інформацію про порядок вступу його в дію та період(и) страхування (за наявності)]</w:t>
            </w:r>
          </w:p>
        </w:tc>
      </w:tr>
    </w:tbl>
    <w:p w14:paraId="16DF2249" w14:textId="77777777" w:rsidR="00C9383C" w:rsidRDefault="00C9383C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552BE" w14:textId="1A42FC8B" w:rsidR="00813503" w:rsidRPr="00557C5C" w:rsidRDefault="00A53152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C8">
        <w:rPr>
          <w:rFonts w:ascii="Times New Roman" w:eastAsia="Times New Roman" w:hAnsi="Times New Roman" w:cs="Times New Roman"/>
          <w:sz w:val="24"/>
          <w:szCs w:val="24"/>
        </w:rPr>
        <w:t xml:space="preserve">Для продукту </w:t>
      </w:r>
      <w:r w:rsidRPr="00EB35C8">
        <w:rPr>
          <w:rFonts w:ascii="Times New Roman" w:eastAsia="Times New Roman" w:hAnsi="Times New Roman" w:cs="Times New Roman"/>
          <w:b/>
          <w:sz w:val="24"/>
          <w:szCs w:val="24"/>
        </w:rPr>
        <w:t>ПРАВЕКС БАНК</w:t>
      </w:r>
    </w:p>
    <w:p w14:paraId="3C940137" w14:textId="77777777" w:rsidR="00813503" w:rsidRPr="00557C5C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>Територія страхування – територія країни (країн), яка вказана в Частині А Договору, окрім України, Росії, Білорусі та країни постійного проживання Застрахованої особи і країни, громадянином якої він є. Під країною постійного проживання розуміється країна, в якій Застрахована особа має право на проживання або перебування (на підставі отримання виду на проживання або аналогічного документу, в тому числі отримання тимчасового захисту згідно Директиви ЄС 2001/55/ЕС чи Дублінського регламенту ІІІ, або довгострокової робочої, студентської, аспірантської візи) на термін, що перевищує встановлену законодавством кількість днів без обов’язкового отримання додаткових дозволів або документів на перебування.</w:t>
      </w:r>
    </w:p>
    <w:p w14:paraId="14FF6BAE" w14:textId="77777777" w:rsidR="00813503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AA6">
        <w:rPr>
          <w:rFonts w:ascii="Times New Roman" w:eastAsia="Times New Roman" w:hAnsi="Times New Roman" w:cs="Times New Roman"/>
          <w:sz w:val="24"/>
          <w:szCs w:val="24"/>
        </w:rPr>
        <w:t>Мінімальний строк дії договору страхування – 1 рік.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D2BDBE" w14:textId="77777777" w:rsidR="00813503" w:rsidRPr="0096387F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 страхування передбачає багаторазові подорожі (ідентифікатор «</w:t>
      </w:r>
      <w:proofErr w:type="spellStart"/>
      <w:r w:rsidRPr="0096387F">
        <w:rPr>
          <w:rFonts w:ascii="Times New Roman" w:eastAsia="Times New Roman" w:hAnsi="Times New Roman" w:cs="Times New Roman"/>
          <w:sz w:val="24"/>
          <w:szCs w:val="24"/>
          <w:lang w:eastAsia="ru-RU"/>
        </w:rPr>
        <w:t>MultiTravel</w:t>
      </w:r>
      <w:proofErr w:type="spellEnd"/>
      <w:r w:rsidRPr="0096387F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При кожному виїзді за кордон строк дії страхового захисту залишається без змін.</w:t>
      </w:r>
    </w:p>
    <w:p w14:paraId="20C5D919" w14:textId="5E2C92D9" w:rsidR="00813503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перебування за кордоном - максимальний строк перебування за кордоном під час однієї поїздки встановлюється в залежності від програми страхування:</w:t>
      </w:r>
    </w:p>
    <w:p w14:paraId="6F0A6D77" w14:textId="77777777" w:rsidR="0090242C" w:rsidRDefault="0090242C" w:rsidP="0090242C">
      <w:pPr>
        <w:widowControl w:val="0"/>
        <w:autoSpaceDE w:val="0"/>
        <w:autoSpaceDN w:val="0"/>
        <w:spacing w:after="0" w:line="240" w:lineRule="auto"/>
        <w:ind w:left="13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XSpec="center" w:tblpY="48"/>
        <w:tblW w:w="8727" w:type="dxa"/>
        <w:tblBorders>
          <w:top w:val="single" w:sz="4" w:space="0" w:color="103184"/>
          <w:left w:val="single" w:sz="4" w:space="0" w:color="103184"/>
          <w:bottom w:val="single" w:sz="4" w:space="0" w:color="103184"/>
          <w:right w:val="single" w:sz="4" w:space="0" w:color="103184"/>
          <w:insideH w:val="single" w:sz="4" w:space="0" w:color="103184"/>
          <w:insideV w:val="single" w:sz="4" w:space="0" w:color="103184"/>
        </w:tblBorders>
        <w:tblLook w:val="04A0" w:firstRow="1" w:lastRow="0" w:firstColumn="1" w:lastColumn="0" w:noHBand="0" w:noVBand="1"/>
      </w:tblPr>
      <w:tblGrid>
        <w:gridCol w:w="2689"/>
        <w:gridCol w:w="6038"/>
      </w:tblGrid>
      <w:tr w:rsidR="00813503" w:rsidRPr="00EB5423" w14:paraId="1FA570D6" w14:textId="77777777" w:rsidTr="000E3B5B">
        <w:trPr>
          <w:trHeight w:val="416"/>
        </w:trPr>
        <w:tc>
          <w:tcPr>
            <w:tcW w:w="2689" w:type="dxa"/>
            <w:vAlign w:val="center"/>
          </w:tcPr>
          <w:p w14:paraId="61265AF6" w14:textId="77777777" w:rsidR="00813503" w:rsidRPr="00EB5423" w:rsidRDefault="00813503" w:rsidP="000E3B5B">
            <w:pPr>
              <w:ind w:left="143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Програма страхування</w:t>
            </w:r>
          </w:p>
        </w:tc>
        <w:tc>
          <w:tcPr>
            <w:tcW w:w="6038" w:type="dxa"/>
            <w:vAlign w:val="center"/>
          </w:tcPr>
          <w:p w14:paraId="177C8921" w14:textId="77777777" w:rsidR="00813503" w:rsidRPr="00EB5423" w:rsidRDefault="00813503" w:rsidP="000E3B5B">
            <w:pPr>
              <w:ind w:left="143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Максимальний строк перебування за кордоном під час однієї поїздки, днів</w:t>
            </w:r>
          </w:p>
        </w:tc>
      </w:tr>
      <w:tr w:rsidR="00EB5423" w:rsidRPr="00EB5423" w14:paraId="1C00E929" w14:textId="77777777" w:rsidTr="000E3B5B">
        <w:trPr>
          <w:trHeight w:val="274"/>
        </w:trPr>
        <w:tc>
          <w:tcPr>
            <w:tcW w:w="2689" w:type="dxa"/>
            <w:vAlign w:val="center"/>
          </w:tcPr>
          <w:p w14:paraId="28E67DE9" w14:textId="77777777" w:rsidR="00EB5423" w:rsidRPr="00EB5423" w:rsidRDefault="00EB5423" w:rsidP="00EB542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«VIP-</w:t>
            </w:r>
            <w:proofErr w:type="spellStart"/>
            <w:r w:rsidRPr="00EB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Bank</w:t>
            </w:r>
            <w:proofErr w:type="spellEnd"/>
            <w:r w:rsidRPr="00EB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038" w:type="dxa"/>
            <w:vAlign w:val="center"/>
          </w:tcPr>
          <w:p w14:paraId="2D792804" w14:textId="77777777" w:rsidR="00EB5423" w:rsidRPr="00EB5423" w:rsidRDefault="00EB5423" w:rsidP="00EB542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EB5423" w:rsidRPr="00EB5423" w14:paraId="2B31EAFF" w14:textId="77777777" w:rsidTr="000E3B5B">
        <w:trPr>
          <w:trHeight w:val="274"/>
        </w:trPr>
        <w:tc>
          <w:tcPr>
            <w:tcW w:w="2689" w:type="dxa"/>
            <w:vAlign w:val="center"/>
          </w:tcPr>
          <w:p w14:paraId="69FD9D36" w14:textId="77777777" w:rsidR="00EB5423" w:rsidRPr="00EB5423" w:rsidRDefault="00EB5423" w:rsidP="00EB542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EB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Travel</w:t>
            </w:r>
            <w:proofErr w:type="spellEnd"/>
            <w:r w:rsidRPr="00EB5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5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Platinum</w:t>
            </w:r>
            <w:proofErr w:type="spellEnd"/>
            <w:r w:rsidRPr="00EB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038" w:type="dxa"/>
            <w:vAlign w:val="center"/>
          </w:tcPr>
          <w:p w14:paraId="41852038" w14:textId="77777777" w:rsidR="00EB5423" w:rsidRPr="00EB5423" w:rsidRDefault="00EB5423" w:rsidP="00EB542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54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7CB17F4B" w14:textId="77777777" w:rsidR="00A53152" w:rsidRP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продукту </w:t>
      </w:r>
      <w:r w:rsidRPr="00A53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РАДАБАНК</w:t>
      </w:r>
    </w:p>
    <w:p w14:paraId="406D4939" w14:textId="77777777" w:rsidR="00A53152" w:rsidRPr="00293390" w:rsidRDefault="00A53152" w:rsidP="002933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Територія країни (країн), яка вказана в Частині А Договору, окрім України, Росії, Білорусі та </w:t>
      </w:r>
      <w:r w:rsidRPr="00293390">
        <w:rPr>
          <w:rFonts w:ascii="Times New Roman" w:eastAsia="Times New Roman" w:hAnsi="Times New Roman" w:cs="Times New Roman"/>
          <w:sz w:val="24"/>
          <w:szCs w:val="24"/>
        </w:rPr>
        <w:t>країни</w:t>
      </w: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постійного проживання Застрахованої особи і країни, громадянином якої він є. Під країною постійного проживання розуміється країна, в якій Застрахована особа має право на проживання або перебування (на підставі отримання виду на проживання або аналогічного документу, в тому числі отримання тимчасового захисту  згідно Директиви ЄС 2001/55/ЕС чи Дублінського регламенту ІІІ, або довгострокової робочої, студентської, аспірантської візи) на термін, що перевищує встановлену законодавством кількість днів без обов’язкового отримання додаткових дозволів або документів на перебування.</w:t>
      </w:r>
    </w:p>
    <w:p w14:paraId="3D4F6872" w14:textId="77777777" w:rsidR="00293390" w:rsidRPr="00293390" w:rsidRDefault="00293390" w:rsidP="002933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90">
        <w:rPr>
          <w:rFonts w:ascii="Times New Roman" w:eastAsia="Times New Roman" w:hAnsi="Times New Roman" w:cs="Times New Roman"/>
          <w:sz w:val="24"/>
          <w:szCs w:val="24"/>
        </w:rPr>
        <w:t>Мінімальний строк дії договору страхування – 1 рік.</w:t>
      </w: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75D3EE" w14:textId="58A7ED82" w:rsidR="00A53152" w:rsidRPr="00293390" w:rsidRDefault="00A53152" w:rsidP="002933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перебування за кордоном - максимальний строк перебування за кордоном під час однієї </w:t>
      </w:r>
      <w:r w:rsidRPr="00293390">
        <w:rPr>
          <w:rFonts w:ascii="Times New Roman" w:eastAsia="Times New Roman" w:hAnsi="Times New Roman" w:cs="Times New Roman"/>
          <w:sz w:val="24"/>
          <w:szCs w:val="24"/>
        </w:rPr>
        <w:t>поїздки</w:t>
      </w:r>
      <w:r w:rsidR="00DD0441"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Програм </w:t>
      </w:r>
      <w:r w:rsidR="00DD0441" w:rsidRPr="0029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DD0441" w:rsidRPr="00293390">
        <w:rPr>
          <w:rFonts w:ascii="Times New Roman" w:hAnsi="Times New Roman" w:cs="Times New Roman"/>
          <w:b/>
          <w:bCs/>
          <w:sz w:val="24"/>
          <w:szCs w:val="24"/>
        </w:rPr>
        <w:t>Classic</w:t>
      </w:r>
      <w:proofErr w:type="spellEnd"/>
      <w:r w:rsidR="00DD0441" w:rsidRPr="0029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D0441"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DD0441" w:rsidRPr="0029339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DD0441" w:rsidRPr="00293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Gold</w:t>
      </w:r>
      <w:proofErr w:type="spellEnd"/>
      <w:r w:rsidR="00DD0441" w:rsidRPr="002933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D0441"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 w:rsidRPr="0029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днів.  Договір страхування передбачає багаторазові подорожі (ідентифікатор «</w:t>
      </w:r>
      <w:proofErr w:type="spellStart"/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>MultiTravel</w:t>
      </w:r>
      <w:proofErr w:type="spellEnd"/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При кожному виїзді за кордон строк дії страхового захисту залишається без змін.</w:t>
      </w:r>
    </w:p>
    <w:p w14:paraId="3182B282" w14:textId="77777777" w:rsidR="00A53152" w:rsidRP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продукту </w:t>
      </w:r>
      <w:proofErr w:type="spellStart"/>
      <w:r w:rsidRPr="00A53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Креді</w:t>
      </w:r>
      <w:proofErr w:type="spellEnd"/>
      <w:r w:rsidRPr="00A53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3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Агріколь</w:t>
      </w:r>
      <w:proofErr w:type="spellEnd"/>
      <w:r w:rsidRPr="00A53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Банк</w:t>
      </w:r>
    </w:p>
    <w:p w14:paraId="7E06E1B1" w14:textId="77777777" w:rsidR="00A53152" w:rsidRPr="00293390" w:rsidRDefault="00A53152" w:rsidP="002933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Територія країни (країн), яка вказана в Частині А Договору, окрім України, Росії, Білорусі </w:t>
      </w:r>
      <w:r w:rsidRPr="00293390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країни постійного проживання Застрахованої особи і країни, громадянином якої він є. Під країною постійного проживання розуміється країна, в якій Застрахована особа має право на проживання або перебування (на підставі отримання виду на проживання або аналогічного документу, в тому числі отримання тимчасового захисту згідно Директиви ЄС 2001/55/ЕС чи Дублінського регламенту ІІІ, або довгострокової робочої, студентської, аспірантської візи) на термін, що перевищує встановлену законодавством кількість днів без обов’язкового отримання додаткових дозволів або документів на перебування.</w:t>
      </w:r>
    </w:p>
    <w:p w14:paraId="3C8E31BF" w14:textId="77777777" w:rsidR="00293390" w:rsidRPr="00293390" w:rsidRDefault="00293390" w:rsidP="002933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90">
        <w:rPr>
          <w:rFonts w:ascii="Times New Roman" w:eastAsia="Times New Roman" w:hAnsi="Times New Roman" w:cs="Times New Roman"/>
          <w:sz w:val="24"/>
          <w:szCs w:val="24"/>
        </w:rPr>
        <w:t>Мінімальний строк дії договору страхування – 1 рік.</w:t>
      </w: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7F393B" w14:textId="2D58A3BC" w:rsidR="00A53152" w:rsidRPr="00293390" w:rsidRDefault="00A53152" w:rsidP="002933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 страхування передбачає багаторазові подорожі (ідентифікатор «</w:t>
      </w:r>
      <w:proofErr w:type="spellStart"/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>MultiTravel</w:t>
      </w:r>
      <w:proofErr w:type="spellEnd"/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При </w:t>
      </w:r>
      <w:r w:rsidRPr="00293390">
        <w:rPr>
          <w:rFonts w:ascii="Times New Roman" w:eastAsia="Times New Roman" w:hAnsi="Times New Roman" w:cs="Times New Roman"/>
          <w:sz w:val="24"/>
          <w:szCs w:val="24"/>
        </w:rPr>
        <w:t>кожному</w:t>
      </w: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виїзді за кордон строк дії страхового захисту залишається без змін.</w:t>
      </w:r>
    </w:p>
    <w:p w14:paraId="35110CA2" w14:textId="2EAA2F46" w:rsidR="00813503" w:rsidRPr="00293390" w:rsidRDefault="00A53152" w:rsidP="002933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</w:t>
      </w:r>
      <w:r w:rsidRPr="00293390">
        <w:rPr>
          <w:rFonts w:ascii="Times New Roman" w:eastAsia="Times New Roman" w:hAnsi="Times New Roman" w:cs="Times New Roman"/>
          <w:sz w:val="24"/>
          <w:szCs w:val="24"/>
        </w:rPr>
        <w:t>пе</w:t>
      </w:r>
      <w:bookmarkStart w:id="0" w:name="_GoBack"/>
      <w:bookmarkEnd w:id="0"/>
      <w:r w:rsidRPr="00293390">
        <w:rPr>
          <w:rFonts w:ascii="Times New Roman" w:eastAsia="Times New Roman" w:hAnsi="Times New Roman" w:cs="Times New Roman"/>
          <w:sz w:val="24"/>
          <w:szCs w:val="24"/>
        </w:rPr>
        <w:t>ребування</w:t>
      </w:r>
      <w:r w:rsidRPr="0029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кордоном - максимальний строк перебування за кордоном під час однієї поїздки встановлюється в залежності від програми страхування:</w:t>
      </w:r>
    </w:p>
    <w:tbl>
      <w:tblPr>
        <w:tblStyle w:val="TableNormal1"/>
        <w:tblpPr w:leftFromText="180" w:rightFromText="180" w:vertAnchor="text" w:horzAnchor="margin" w:tblpXSpec="center" w:tblpY="102"/>
        <w:tblOverlap w:val="never"/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4605"/>
      </w:tblGrid>
      <w:tr w:rsidR="00A53152" w:rsidRPr="00EB35C8" w14:paraId="0ABC44B2" w14:textId="77777777" w:rsidTr="00DD0441">
        <w:trPr>
          <w:trHeight w:val="416"/>
        </w:trPr>
        <w:tc>
          <w:tcPr>
            <w:tcW w:w="3759" w:type="dxa"/>
            <w:vAlign w:val="center"/>
          </w:tcPr>
          <w:p w14:paraId="2F89A7D0" w14:textId="77777777" w:rsidR="00A53152" w:rsidRPr="00EB35C8" w:rsidRDefault="00A53152" w:rsidP="00A5315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Програма страхування</w:t>
            </w:r>
          </w:p>
        </w:tc>
        <w:tc>
          <w:tcPr>
            <w:tcW w:w="4605" w:type="dxa"/>
            <w:vAlign w:val="center"/>
          </w:tcPr>
          <w:p w14:paraId="4EF79281" w14:textId="77777777" w:rsidR="00A53152" w:rsidRPr="00EB35C8" w:rsidRDefault="00A53152" w:rsidP="00A5315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Максимальний строк перебування за кордоном під час однієї поїздки, днів</w:t>
            </w:r>
          </w:p>
        </w:tc>
      </w:tr>
      <w:tr w:rsidR="00A53152" w:rsidRPr="00EB35C8" w14:paraId="543517A2" w14:textId="77777777" w:rsidTr="00DD0441">
        <w:trPr>
          <w:trHeight w:val="569"/>
        </w:trPr>
        <w:tc>
          <w:tcPr>
            <w:tcW w:w="3759" w:type="dxa"/>
            <w:vAlign w:val="center"/>
          </w:tcPr>
          <w:p w14:paraId="73A40E5E" w14:textId="77777777" w:rsidR="00A53152" w:rsidRPr="00EB35C8" w:rsidRDefault="00A53152" w:rsidP="00A5315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Travel</w:t>
            </w:r>
            <w:proofErr w:type="spellEnd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Package</w:t>
            </w:r>
            <w:proofErr w:type="spellEnd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Smart</w:t>
            </w:r>
            <w:proofErr w:type="spellEnd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/Premium/</w:t>
            </w:r>
            <w:proofErr w:type="spellStart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Voyage</w:t>
            </w:r>
            <w:proofErr w:type="spellEnd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La</w:t>
            </w:r>
            <w:proofErr w:type="spellEnd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Force</w:t>
            </w:r>
            <w:proofErr w:type="spellEnd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4605" w:type="dxa"/>
            <w:vAlign w:val="center"/>
          </w:tcPr>
          <w:p w14:paraId="77C824B4" w14:textId="77777777" w:rsidR="00A53152" w:rsidRPr="00EB35C8" w:rsidRDefault="00A53152" w:rsidP="00A5315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5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53152" w:rsidRPr="00EB35C8" w14:paraId="6A55A4A1" w14:textId="77777777" w:rsidTr="00DD0441">
        <w:trPr>
          <w:trHeight w:val="582"/>
        </w:trPr>
        <w:tc>
          <w:tcPr>
            <w:tcW w:w="3759" w:type="dxa"/>
            <w:vAlign w:val="center"/>
          </w:tcPr>
          <w:p w14:paraId="13D880A4" w14:textId="77777777" w:rsidR="00A53152" w:rsidRPr="00EB35C8" w:rsidRDefault="00A53152" w:rsidP="00A5315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Package</w:t>
            </w:r>
            <w:proofErr w:type="spellEnd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elite</w:t>
            </w:r>
            <w:proofErr w:type="spellEnd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infinite</w:t>
            </w:r>
            <w:proofErr w:type="spellEnd"/>
            <w:r w:rsidRPr="00EB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605" w:type="dxa"/>
            <w:vAlign w:val="center"/>
          </w:tcPr>
          <w:p w14:paraId="73CBBE6F" w14:textId="77777777" w:rsidR="00A53152" w:rsidRPr="00EB35C8" w:rsidRDefault="00A53152" w:rsidP="00A5315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5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51E44B06" w14:textId="3E1F00AB" w:rsid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971A5" w14:textId="56399265" w:rsid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20328" w14:textId="3D3006E6" w:rsid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578A6" w14:textId="79726300" w:rsid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CEA04" w14:textId="05BA6E67" w:rsid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A1BD1" w14:textId="5679F5D2" w:rsid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84B6A" w14:textId="47D1D7FB" w:rsid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7940B" w14:textId="32D75E5C" w:rsid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9A690" w14:textId="77A306F7" w:rsidR="00A53152" w:rsidRDefault="00A53152" w:rsidP="00A5315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2C71DD31" w14:textId="77777777" w:rsidTr="00A53152">
        <w:tc>
          <w:tcPr>
            <w:tcW w:w="9639" w:type="dxa"/>
            <w:shd w:val="clear" w:color="auto" w:fill="DBE5F1"/>
          </w:tcPr>
          <w:p w14:paraId="6A1E6E14" w14:textId="6AD1CEF1" w:rsidR="00813503" w:rsidRPr="00557C5C" w:rsidRDefault="00813503" w:rsidP="0081350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Винятки із страхових випадків та підстави для відмови у здійсненні страхових виплат</w:t>
            </w:r>
          </w:p>
        </w:tc>
      </w:tr>
    </w:tbl>
    <w:p w14:paraId="273F782B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1DB84" w14:textId="77777777" w:rsidR="00813503" w:rsidRPr="00557C5C" w:rsidRDefault="00813503" w:rsidP="0081350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>Страховик не відшкодовує витрати:</w:t>
      </w:r>
    </w:p>
    <w:p w14:paraId="017F4540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 виникли внаслідок протиправних дій Застрахованої особи, навмисного </w:t>
      </w:r>
      <w:r w:rsidRPr="00D61F90">
        <w:rPr>
          <w:rFonts w:ascii="Times New Roman" w:eastAsia="Times New Roman" w:hAnsi="Times New Roman" w:cs="Times New Roman"/>
          <w:sz w:val="24"/>
          <w:szCs w:val="24"/>
        </w:rPr>
        <w:t>заподіяння</w:t>
      </w: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шкоди своєму здоров'ю, спроби самогубства;</w:t>
      </w:r>
    </w:p>
    <w:p w14:paraId="0A906A1E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лікування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виникли до укладення Договору страхування, у тому числі </w:t>
      </w:r>
      <w:r w:rsidRPr="00D61F90">
        <w:rPr>
          <w:rFonts w:ascii="Times New Roman" w:eastAsia="Times New Roman" w:hAnsi="Times New Roman" w:cs="Times New Roman"/>
          <w:sz w:val="24"/>
          <w:szCs w:val="24"/>
        </w:rPr>
        <w:t>захворювань</w:t>
      </w: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етапі лікування за винятком випадків, коли таке лікування входить в комплексний продукт і узгоджено із Страховиком;</w:t>
      </w:r>
    </w:p>
    <w:p w14:paraId="6143A769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 виникли внаслідок захворювань і травм, отриманих Застрахованою особою та пов'язаних з невиправданим ризиком та небезпекою завдання шкоди життю та здоров’ю, а також заняттям Застрахованою особою професійним спортом, участю Застрахованої особи в </w:t>
      </w: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будь-яких змаганнях;</w:t>
      </w:r>
    </w:p>
    <w:p w14:paraId="7B7A5A6B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 виникли при виконанні Застрахованою особою фізичної праці за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наймом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FEBB95A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виникли внаслідок висотної, декомпресійної (кесонної) хвороби;</w:t>
      </w:r>
    </w:p>
    <w:p w14:paraId="31327C8D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 виникли при управлінні моторизованими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або триколісними транспортними засобами за відсутності у водія відповідних водійських прав або відповідної категорії, виданих в країні проживання;</w:t>
      </w:r>
    </w:p>
    <w:p w14:paraId="78E0F24E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медичні послуги, товари та медикаменти у зв’язку з хронічними хворобами, в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епілепсія, цукровий діабет, бронхіальна астма, системні захворювання сполучної тканини, доброякісні та злоякісні онкологічні захворювання, туберкульоз, гематологічні,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аутоімунні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демієлінізуючі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захворювання, хронічна ниркова недостатність, вірусні гепатити, окрім гепатиту А, цироз печінки; ускладнення виразкової хвороби (множинні виразки ДПК та/або шлунку,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пенетрація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виразки, стеноз воротаря), окрім надання швидкої невідкладної допомоги;</w:t>
      </w:r>
    </w:p>
    <w:p w14:paraId="68BC864E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медичні послуги, товари та медикаменти які пов’язані з віковими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дегенеративно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-дистрофічними процесами, вродженими аномаліями та вадами розвитку, спадковими, професійними, психічними захворюваннями, захворюваннями психогенної природи, порушенням мови надання невідкладної допомоги;</w:t>
      </w:r>
    </w:p>
    <w:p w14:paraId="237954CD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медичні послуги, товари та медикаменти, спрямовані на оздоровлення та профілактику (в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вітаміни, вакцинація, санаторно-курортне лікування, профілактичний огляд та подібне);</w:t>
      </w:r>
    </w:p>
    <w:p w14:paraId="00B6F69F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медичні послуги, товари та медикаменти за станами (захворюваннями, травмами,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опіками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отруєннями), отриманими внаслідок вживання алкоголю, наркотичних та токсичних речовин;</w:t>
      </w:r>
    </w:p>
    <w:p w14:paraId="061FE371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отримання Застрахованою особою послуг та/або товарів, що не є необхідними з медичної точки зору для діагностики, лікування невідкладних станів чи витрати, які не були попередньо узгоджені з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Асистансом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Страховиком;</w:t>
      </w:r>
    </w:p>
    <w:p w14:paraId="106529F1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отримання медичних довідок для державних та інших установ тощо;</w:t>
      </w:r>
    </w:p>
    <w:p w14:paraId="1406B0E4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експериментальне лікування, отримання Застрахованою особою послуг, які надані лікувальним закладом або особою, які не мають відповідної ліцензії, лікування методами нетрадиційної медицини (іридодіагностика,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біокорекція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тощо), гіпноз, психотерапію,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рефлексотерапію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біологічні добавки,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фізіо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 мануальну терапію, масаж;</w:t>
      </w:r>
    </w:p>
    <w:p w14:paraId="5FBCE716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косметичні та пластичні операції, трансплантацію органів та тканин, протезування, медичне обладнання, придбання протезів і медичних пристроїв, що заміщують або коригують функції уражених органів, операції із застосуванням апарату штучного кровообігу (АШК), препарати замінної терапії, лікування безпліддя, імпотенції, сексуальних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дисфункцій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контрацепцію;</w:t>
      </w:r>
    </w:p>
    <w:p w14:paraId="6CFA153B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медикаменти, не призначенні та/або належним чином не задокументовані лікарем медичного закладу в країні перебування Застрахованої особи як доцільні та необхідні для лікування невідкладного стану;</w:t>
      </w:r>
    </w:p>
    <w:p w14:paraId="510D6D79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 з приводу алергічних дерматитів в тому числі алергічних реакцій на сонячне випромінювання, сонячні опіки;</w:t>
      </w:r>
    </w:p>
    <w:p w14:paraId="0B2D8A4F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медикаменти, що пов’язані з особливо небезпечними інфекціями (чума, холера, натуральна віспа та інші згідно з відповідним Наказом МОЗ України № 133 від 19.07.95) окрім програм, які містять ризик «Надання невідкладної медичної допомоги у зв’язку зі захворюваннями, що пов’язані з особливо небезпечними інфекціями».</w:t>
      </w:r>
    </w:p>
    <w:p w14:paraId="6D1FB9E2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медикаменти, з приводу класичних венеричних захворювань та інфекцій, що передаються переважно статевим шляхом, відповідно до класифікації Всесвітньої Організації Охорони Здоров'я;</w:t>
      </w:r>
    </w:p>
    <w:p w14:paraId="752B145A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медичні послуги, товари та медикаменти з приводу СНІД (ВІЛ);</w:t>
      </w:r>
    </w:p>
    <w:p w14:paraId="10B8A746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пов’язані з зміною ваги тіла або лікування ожиріння, модифікацією тіла з метою поліпшення психологічного, розумового або емоційного стану, в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. хірургічна зміна статі;</w:t>
      </w:r>
    </w:p>
    <w:p w14:paraId="16F5F589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пов’язані з вагітністю та пологами, за винятком позаматкової вагітності і необхідності </w:t>
      </w: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переривання вагітності за медичними показниками, якщо інше не передбачено умовами програми страхування;</w:t>
      </w:r>
    </w:p>
    <w:p w14:paraId="74D938B9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операції з приводу аневризми судин, крім невідкладних операцій при ускладнених аневризмах судин головного мозку, коли існує загроза життю Застрахованої особи;</w:t>
      </w:r>
    </w:p>
    <w:p w14:paraId="4C61F4A3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будь-які стоматологічні послуги, окрім послуг, спрямованих на надання невідкладної стоматологічної допомоги по ліквідації гострого зубного болю (без встановлення постійної пломби, косметичних процедур тощо);</w:t>
      </w:r>
    </w:p>
    <w:p w14:paraId="64F2EC8D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лікування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гіполіпідемічними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лікарськими препаратами.</w:t>
      </w:r>
    </w:p>
    <w:p w14:paraId="5669C72C" w14:textId="77777777" w:rsidR="00813503" w:rsidRPr="00D61F90" w:rsidRDefault="00813503" w:rsidP="0081350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</w:rPr>
        <w:t>Страховим</w:t>
      </w: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випадком, також не є:</w:t>
      </w:r>
    </w:p>
    <w:p w14:paraId="330AB6AE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моральні збитки, непрямі збитки, збитки, заподіяні професійною помилкою лікаря, збитки, заподіяні майну Застрахованої особи;</w:t>
      </w:r>
    </w:p>
    <w:p w14:paraId="3D0F06EE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збитки на пошук та рятування Застрахованої особи, збитки або витрати, які могли б бути відстрочені до моменту повернення Застрахованої особи в країну постійного проживання;</w:t>
      </w:r>
    </w:p>
    <w:p w14:paraId="0489AA83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збитки або витрати здійснені в Україні (або країні постійного проживання), навіть якщо вони пов’язані з страховим випадком;</w:t>
      </w:r>
    </w:p>
    <w:p w14:paraId="305F1318" w14:textId="77777777" w:rsidR="00813503" w:rsidRPr="00D61F9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збитки Застрахованої особи у разі надання Страховику свідомо неправдивої інформації, сфальсифікованих документів стосовно стану здоров’я Застрахованої особи або факту сплати отриманих послуг або необґрунтованого збільшення розміру страхового відшкодування.</w:t>
      </w:r>
    </w:p>
    <w:p w14:paraId="4A6C5FB4" w14:textId="77777777" w:rsidR="00813503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витрати на послуги таксі, окрім витрат на таксі коли </w:t>
      </w:r>
      <w:proofErr w:type="spellStart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Асистанс</w:t>
      </w:r>
      <w:proofErr w:type="spellEnd"/>
      <w:r w:rsidRPr="00D6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змозі організувати медичне транспортування застрахованої особи до медичного закладу для надання невідкладної або невідкладної стаціонарної допомоги, коли застрахована особа в зв’язку з важким станом/травматичними ушкодженнями не може самостійно пересуватись, якщо інше не передбачено умовами програми страхування.</w:t>
      </w:r>
    </w:p>
    <w:p w14:paraId="3AA04A04" w14:textId="77777777" w:rsidR="00813503" w:rsidRPr="001D54B0" w:rsidRDefault="00813503" w:rsidP="00813503">
      <w:pPr>
        <w:widowControl w:val="0"/>
        <w:autoSpaceDE w:val="0"/>
        <w:autoSpaceDN w:val="0"/>
        <w:spacing w:after="0" w:line="240" w:lineRule="auto"/>
        <w:ind w:left="133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Страховик має право відмовити у здійсненні страхової виплати за Договором у випадках, якщо Страхувальник (Застрахована особа):</w:t>
      </w:r>
    </w:p>
    <w:p w14:paraId="32445C30" w14:textId="77777777" w:rsidR="00813503" w:rsidRPr="001D54B0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надав Страховику, без поважних причин у встановлений Договором строк, документи, необхідні для прийняття рішення про визнання події, що відбулася, страховим випадком, і здійснення страхової виплати;</w:t>
      </w:r>
    </w:p>
    <w:p w14:paraId="03916406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ind w:left="133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b/>
          <w:sz w:val="24"/>
          <w:szCs w:val="24"/>
        </w:rPr>
        <w:t>Підставою для відмови у страховій виплаті є:</w:t>
      </w:r>
    </w:p>
    <w:p w14:paraId="7BB6F1B3" w14:textId="77777777" w:rsidR="00813503" w:rsidRPr="00557C5C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навмисні дії Страхувальника або Застрахованої особи, спрямовані на настання страхового випадку, які привели до нього;</w:t>
      </w:r>
    </w:p>
    <w:p w14:paraId="346350B8" w14:textId="77777777" w:rsidR="00813503" w:rsidRPr="00557C5C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несвоєчасне повідомлення Страхувальником або Застрахованою особою про настання страхового випадку без поважних на це причин або створення Страховикові перешкод у визначенні обставин настання страхового випадку;</w:t>
      </w:r>
    </w:p>
    <w:p w14:paraId="611C83E0" w14:textId="77777777" w:rsidR="00813503" w:rsidRPr="00557C5C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надання лікареві, призначеному Страховиком, змоги обстежити Застраховану особу;</w:t>
      </w:r>
    </w:p>
    <w:p w14:paraId="1DFC0AD5" w14:textId="77777777" w:rsidR="00813503" w:rsidRPr="00557C5C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випадки, передбачені законодавством України.</w:t>
      </w:r>
    </w:p>
    <w:p w14:paraId="69385AC7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307145FE" w14:textId="77777777" w:rsidTr="000E3B5B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31FF767C" w14:textId="77777777" w:rsidR="00813503" w:rsidRPr="00557C5C" w:rsidRDefault="00813503" w:rsidP="0081350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Ліміти відповідальності страховика за окремим об’єктом страхування, страховим ризиком та/або страховим випадком, групою страхових ризиків та/або страхових випадків (за наявності), іншими складовими страхового продукту</w:t>
            </w:r>
          </w:p>
        </w:tc>
      </w:tr>
    </w:tbl>
    <w:p w14:paraId="0496FE0A" w14:textId="77777777" w:rsidR="00813503" w:rsidRPr="00557C5C" w:rsidRDefault="00813503" w:rsidP="00813503">
      <w:pPr>
        <w:spacing w:after="0" w:line="240" w:lineRule="auto"/>
        <w:ind w:left="143"/>
        <w:jc w:val="both"/>
        <w:outlineLvl w:val="1"/>
        <w:rPr>
          <w:rFonts w:ascii="Times New Roman" w:eastAsia="Times New Roman" w:hAnsi="Times New Roman" w:cs="Times New Roman"/>
          <w:color w:val="365F91"/>
          <w:sz w:val="24"/>
          <w:szCs w:val="24"/>
          <w:lang w:eastAsia="ru-RU"/>
        </w:rPr>
      </w:pPr>
    </w:p>
    <w:p w14:paraId="2F9C742A" w14:textId="585E54FD" w:rsidR="00813503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ризиком «</w:t>
      </w:r>
      <w:r w:rsidRPr="00557C5C">
        <w:rPr>
          <w:rFonts w:ascii="Times New Roman" w:eastAsia="Calibri" w:hAnsi="Times New Roman" w:cs="Times New Roman"/>
          <w:sz w:val="24"/>
          <w:szCs w:val="24"/>
        </w:rPr>
        <w:t>страхування медичних витрат, пов’язаних з наданням допомоги (</w:t>
      </w:r>
      <w:proofErr w:type="spellStart"/>
      <w:r w:rsidRPr="00557C5C">
        <w:rPr>
          <w:rFonts w:ascii="Times New Roman" w:eastAsia="Calibri" w:hAnsi="Times New Roman" w:cs="Times New Roman"/>
          <w:sz w:val="24"/>
          <w:szCs w:val="24"/>
        </w:rPr>
        <w:t>асистанс</w:t>
      </w:r>
      <w:proofErr w:type="spellEnd"/>
      <w:r w:rsidRPr="00557C5C">
        <w:rPr>
          <w:rFonts w:ascii="Times New Roman" w:eastAsia="Calibri" w:hAnsi="Times New Roman" w:cs="Times New Roman"/>
          <w:sz w:val="24"/>
          <w:szCs w:val="24"/>
        </w:rPr>
        <w:t>) особам, які потрапили в скрутне становище під час здійснення подорожі (поїздки) на території України або за кордон» ліміти відповідальності встано</w:t>
      </w:r>
      <w:r w:rsidR="00EB5423">
        <w:rPr>
          <w:rFonts w:ascii="Times New Roman" w:eastAsia="Calibri" w:hAnsi="Times New Roman" w:cs="Times New Roman"/>
          <w:sz w:val="24"/>
          <w:szCs w:val="24"/>
        </w:rPr>
        <w:t>в</w:t>
      </w:r>
      <w:r w:rsidR="003D5C75">
        <w:rPr>
          <w:rFonts w:ascii="Times New Roman" w:eastAsia="Calibri" w:hAnsi="Times New Roman" w:cs="Times New Roman"/>
          <w:sz w:val="24"/>
          <w:szCs w:val="24"/>
        </w:rPr>
        <w:t xml:space="preserve">люються в межах страхової суми та за окремими опціями </w:t>
      </w:r>
      <w:r w:rsidR="003D5C75" w:rsidRPr="00557C5C">
        <w:rPr>
          <w:rFonts w:ascii="Times New Roman" w:eastAsia="Calibri" w:hAnsi="Times New Roman" w:cs="Times New Roman"/>
          <w:sz w:val="24"/>
          <w:szCs w:val="24"/>
        </w:rPr>
        <w:t>(дивись розділ 3)</w:t>
      </w:r>
      <w:r w:rsidR="003D5C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C75" w:rsidRPr="00557C5C">
        <w:rPr>
          <w:rFonts w:ascii="Times New Roman" w:eastAsia="Calibri" w:hAnsi="Times New Roman" w:cs="Times New Roman"/>
          <w:sz w:val="24"/>
          <w:szCs w:val="24"/>
        </w:rPr>
        <w:t>і зазначаються в договорі страхування</w:t>
      </w:r>
      <w:r w:rsidR="003D5C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40CBC4" w14:textId="788BC243" w:rsidR="00813503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57C5C">
        <w:rPr>
          <w:rFonts w:ascii="Times New Roman" w:eastAsia="Calibri" w:hAnsi="Times New Roman" w:cs="Times New Roman"/>
          <w:sz w:val="24"/>
          <w:szCs w:val="24"/>
        </w:rPr>
        <w:t>За ризиком «</w:t>
      </w:r>
      <w:r w:rsidR="003D5C75">
        <w:rPr>
          <w:rFonts w:ascii="Times New Roman" w:eastAsia="Calibri" w:hAnsi="Times New Roman" w:cs="Times New Roman"/>
          <w:sz w:val="24"/>
          <w:szCs w:val="24"/>
        </w:rPr>
        <w:t>с</w:t>
      </w:r>
      <w:r w:rsidRPr="00557C5C">
        <w:rPr>
          <w:rFonts w:ascii="Times New Roman" w:eastAsia="Calibri" w:hAnsi="Times New Roman" w:cs="Times New Roman"/>
          <w:sz w:val="24"/>
          <w:szCs w:val="24"/>
        </w:rPr>
        <w:t>трахування витрат, інших, ніж медичні, пов’язаних з наданням допомоги (</w:t>
      </w:r>
      <w:proofErr w:type="spellStart"/>
      <w:r w:rsidRPr="00557C5C">
        <w:rPr>
          <w:rFonts w:ascii="Times New Roman" w:eastAsia="Calibri" w:hAnsi="Times New Roman" w:cs="Times New Roman"/>
          <w:sz w:val="24"/>
          <w:szCs w:val="24"/>
        </w:rPr>
        <w:t>асистанс</w:t>
      </w:r>
      <w:proofErr w:type="spellEnd"/>
      <w:r w:rsidRPr="00557C5C">
        <w:rPr>
          <w:rFonts w:ascii="Times New Roman" w:eastAsia="Calibri" w:hAnsi="Times New Roman" w:cs="Times New Roman"/>
          <w:sz w:val="24"/>
          <w:szCs w:val="24"/>
        </w:rPr>
        <w:t>) особам, які потрапили в скрутне становище під час здійснення подорожі (поїздки) на території України або за кордон» ліміти відповідальності встановлюються  за кожною опцією окремо (дивись розділ 3) і зазначаються в договорі страхування.</w:t>
      </w:r>
    </w:p>
    <w:p w14:paraId="000CC5F8" w14:textId="3E2FC5A5" w:rsidR="003D5C75" w:rsidRPr="003D5C75" w:rsidRDefault="003D5C75" w:rsidP="003D5C75">
      <w:pPr>
        <w:widowControl w:val="0"/>
        <w:numPr>
          <w:ilvl w:val="0"/>
          <w:numId w:val="2"/>
        </w:numPr>
        <w:spacing w:after="0"/>
        <w:ind w:left="143" w:hanging="10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ризиком «</w:t>
      </w:r>
      <w:r w:rsidRPr="003D5C75">
        <w:rPr>
          <w:rFonts w:ascii="Times New Roman" w:eastAsia="Calibri" w:hAnsi="Times New Roman" w:cs="Times New Roman"/>
          <w:sz w:val="24"/>
          <w:szCs w:val="24"/>
        </w:rPr>
        <w:t xml:space="preserve">страхування від нещасного випадку, включаючи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нещасний випадок на транспорті» </w:t>
      </w:r>
      <w:r w:rsidRPr="00557C5C">
        <w:rPr>
          <w:rFonts w:ascii="Times New Roman" w:eastAsia="Calibri" w:hAnsi="Times New Roman" w:cs="Times New Roman"/>
          <w:sz w:val="24"/>
          <w:szCs w:val="24"/>
        </w:rPr>
        <w:t xml:space="preserve">ліміти відповідальності встановлюються  за кожною опцією окремо (дивись </w:t>
      </w:r>
      <w:r w:rsidRPr="00557C5C">
        <w:rPr>
          <w:rFonts w:ascii="Times New Roman" w:eastAsia="Calibri" w:hAnsi="Times New Roman" w:cs="Times New Roman"/>
          <w:sz w:val="24"/>
          <w:szCs w:val="24"/>
        </w:rPr>
        <w:lastRenderedPageBreak/>
        <w:t>розділ 3) і зазначаються в договорі страхування.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D5EC35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74B411C8" w14:textId="77777777" w:rsidTr="000E3B5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CD3641B" w14:textId="77777777" w:rsidR="00813503" w:rsidRPr="00557C5C" w:rsidRDefault="00813503" w:rsidP="00813503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Порядок розрахунку та умови здійснення страхових виплат</w:t>
            </w:r>
          </w:p>
        </w:tc>
      </w:tr>
    </w:tbl>
    <w:p w14:paraId="132414CC" w14:textId="77777777" w:rsidR="00E97325" w:rsidRDefault="00E97325" w:rsidP="00813503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1B2BC7" w14:textId="159869EB" w:rsidR="00813503" w:rsidRPr="00BF67D4" w:rsidRDefault="00813503" w:rsidP="00813503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Страхова виплата здійснюється на підставі медичних та фінансових документів, що підтверджують факт отримання послуг Застрахованою особою та їх вартість, але не більше середньо ринкової вартості товарів та послуг, які стягуються у країні настання страхового випадку за виконання аналогічних послуг при подібних обставинах. У випадку оплати наданих послуг через </w:t>
      </w:r>
      <w:proofErr w:type="spellStart"/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Асистанс</w:t>
      </w:r>
      <w:proofErr w:type="spellEnd"/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заявою Страхувальника (Застрахованої особи) на здійснення страхової виплати є акт виконаних робіт від </w:t>
      </w:r>
      <w:proofErr w:type="spellStart"/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Асистансу</w:t>
      </w:r>
      <w:proofErr w:type="spellEnd"/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C6B5088" w14:textId="77777777" w:rsidR="00813503" w:rsidRPr="00BF67D4" w:rsidRDefault="00813503" w:rsidP="00813503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При витратах на хронічні захворювання, в тому числі їх загострення, сплачується відшкодування в межах 10% страхової суми.</w:t>
      </w:r>
    </w:p>
    <w:p w14:paraId="5BFD1FB6" w14:textId="77777777" w:rsidR="00813503" w:rsidRPr="00BF67D4" w:rsidRDefault="00813503" w:rsidP="00813503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Страхова виплата сплачується Страховиком у межах страхової суми та лімітів відповідальності, зазначених у програмі страхування, яка наведена у частині А. Страхова виплата за медичними витратами не може перевищувати розміру прямих збитків, які зазнала Застрахована особа.</w:t>
      </w:r>
    </w:p>
    <w:p w14:paraId="18B66CB3" w14:textId="77777777" w:rsidR="00813503" w:rsidRPr="00BF67D4" w:rsidRDefault="00813503" w:rsidP="00813503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Страхова сума по конкретному виду страхування зменшується на суму здійсненої Страховиком страхової виплати.</w:t>
      </w:r>
    </w:p>
    <w:p w14:paraId="2974D1DD" w14:textId="77777777" w:rsidR="00813503" w:rsidRPr="00BF67D4" w:rsidRDefault="00813503" w:rsidP="00813503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Страхова виплата здійснюється Страховиком Застрахованій особі (спадкоємцю), у разі її самостійної сплати товарів та послуг на підставі документів, наведених вище, у національній валюті України за курсом НБУ на дату настання страхового випадку. У випадку відсутності попереднього погодження витрат на послуги із Страховиком або </w:t>
      </w:r>
      <w:proofErr w:type="spellStart"/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Асистансом</w:t>
      </w:r>
      <w:proofErr w:type="spellEnd"/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, максимальна страхова виплата складає суму що дорівнює 300 доларів США за офіційним обмінним курсом НБУ на дату настання страхового випадку.</w:t>
      </w:r>
    </w:p>
    <w:p w14:paraId="01A3E607" w14:textId="77777777" w:rsidR="00813503" w:rsidRPr="00BF67D4" w:rsidRDefault="00813503" w:rsidP="00813503">
      <w:pPr>
        <w:tabs>
          <w:tab w:val="left" w:pos="851"/>
        </w:tabs>
        <w:spacing w:before="240"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Для одержання страхової виплати Застрахована особа повинна не пізніше 30-ти календарних днів після повернення в Україну з закордонної поїздки (протягом якої відбувся страховий випадок), або 5-ти днів після отримання інвалідності, а у випадку смерті Застрахованої особи, спадкоємці не пізніше 7 (семи) місяців з моменту настання страхового випадку надати Страховику відповідним чином оформлені документи:</w:t>
      </w:r>
    </w:p>
    <w:p w14:paraId="07BC4CC0" w14:textId="77777777" w:rsidR="00813503" w:rsidRPr="00BF67D4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Заяву на виплату, яку Страхувальник може надати як за формою Страховика, так і способом телефонного дзвінка;</w:t>
      </w:r>
    </w:p>
    <w:p w14:paraId="5DD909B0" w14:textId="77777777" w:rsidR="00813503" w:rsidRPr="00BF67D4" w:rsidRDefault="00813503" w:rsidP="00813503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що підтверджують його особу (копія);</w:t>
      </w:r>
    </w:p>
    <w:p w14:paraId="6A558328" w14:textId="77777777" w:rsidR="00813503" w:rsidRPr="00BF67D4" w:rsidRDefault="00813503" w:rsidP="00813503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закордонний паспорт, за яким відбулась поїздка (копії);</w:t>
      </w:r>
    </w:p>
    <w:p w14:paraId="6D95925C" w14:textId="77777777" w:rsidR="00813503" w:rsidRPr="00BF67D4" w:rsidRDefault="00813503" w:rsidP="00813503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картка платника податків (копія);</w:t>
      </w:r>
    </w:p>
    <w:p w14:paraId="1E1CC4CA" w14:textId="77777777" w:rsidR="00813503" w:rsidRPr="00BF67D4" w:rsidRDefault="00813503" w:rsidP="00813503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Договір (копія);</w:t>
      </w:r>
    </w:p>
    <w:p w14:paraId="50B64C7A" w14:textId="77777777" w:rsidR="00813503" w:rsidRPr="00BF67D4" w:rsidRDefault="00813503" w:rsidP="00813503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банківські реквізити для страхової виплати;</w:t>
      </w:r>
    </w:p>
    <w:p w14:paraId="7CA0CF04" w14:textId="77777777" w:rsidR="00813503" w:rsidRPr="00BF67D4" w:rsidRDefault="00813503" w:rsidP="00813503">
      <w:pPr>
        <w:widowControl w:val="0"/>
        <w:numPr>
          <w:ilvl w:val="2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ind w:left="421" w:hanging="16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копії документів, що підтверджують дати виїзду з території України Застрахованої особи та дати в’їзду його в Україну (квитки, посадочні талони тощо).</w:t>
      </w:r>
    </w:p>
    <w:p w14:paraId="4032BF78" w14:textId="77777777" w:rsidR="00813503" w:rsidRPr="00BF67D4" w:rsidRDefault="00813503" w:rsidP="00813503">
      <w:pPr>
        <w:tabs>
          <w:tab w:val="left" w:pos="851"/>
        </w:tabs>
        <w:spacing w:before="240" w:after="0" w:line="276" w:lineRule="auto"/>
        <w:ind w:left="272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До заяви та документів, зазначених вище, додаються наступні документи:</w:t>
      </w:r>
    </w:p>
    <w:p w14:paraId="75E83189" w14:textId="77777777" w:rsidR="00813503" w:rsidRPr="00BF67D4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</w:t>
      </w:r>
      <w:r w:rsidRPr="00BF67D4">
        <w:rPr>
          <w:rFonts w:ascii="Times New Roman" w:eastAsia="Times New Roman" w:hAnsi="Times New Roman" w:cs="Times New Roman"/>
          <w:sz w:val="24"/>
          <w:szCs w:val="24"/>
        </w:rPr>
        <w:t>разі</w:t>
      </w: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захворювання:</w:t>
      </w:r>
    </w:p>
    <w:p w14:paraId="67C157E4" w14:textId="77777777" w:rsidR="00813503" w:rsidRPr="00BF67D4" w:rsidRDefault="00813503" w:rsidP="00813503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звіт лікаря із зазначеним діагнозом та детальним переліком наданих послуг (оригінал або копія);</w:t>
      </w:r>
    </w:p>
    <w:p w14:paraId="7F55C13B" w14:textId="77777777" w:rsidR="00813503" w:rsidRPr="00BF67D4" w:rsidRDefault="00813503" w:rsidP="00813503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рецепти ліків, виписаних лікарем Застрахованій особі (оригінали або копії);</w:t>
      </w:r>
    </w:p>
    <w:p w14:paraId="17E2FADC" w14:textId="77777777" w:rsidR="00813503" w:rsidRPr="00BF67D4" w:rsidRDefault="00813503" w:rsidP="00813503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квитанції (чеки) про оплату медикаментів, послуг лікаря/лікарні (оригінали або копії);</w:t>
      </w:r>
    </w:p>
    <w:p w14:paraId="79BE784D" w14:textId="77777777" w:rsidR="00813503" w:rsidRPr="00BF67D4" w:rsidRDefault="00813503" w:rsidP="00813503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вимогою Страховика - інші необхідні документи, пов’язані із хворобою; </w:t>
      </w:r>
    </w:p>
    <w:p w14:paraId="1B1A0C86" w14:textId="77777777" w:rsidR="00813503" w:rsidRPr="00BF67D4" w:rsidRDefault="00813503" w:rsidP="00813503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інші необхідні документи, пов’язані зі страховим випадком.</w:t>
      </w:r>
    </w:p>
    <w:p w14:paraId="515F2F8B" w14:textId="77777777" w:rsidR="00813503" w:rsidRPr="00BF67D4" w:rsidRDefault="00813503" w:rsidP="00813503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240" w:after="0" w:line="276" w:lineRule="auto"/>
        <w:ind w:left="414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разі затримки рейсу/багажу надаються копії документів, що підтверджують цю затримку на певний час (відмітка на квитку, довідка з аеропорту або від авіакомпанії тощо з </w:t>
      </w: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зазначенням точного часу затримки, інформація про затримку рейсу, що наявна на сайтах, на яких розміщені дані про затримку рейсу).</w:t>
      </w:r>
    </w:p>
    <w:p w14:paraId="4BAFD08C" w14:textId="77777777" w:rsidR="00813503" w:rsidRPr="00BF67D4" w:rsidRDefault="00813503" w:rsidP="00813503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240" w:after="0" w:line="276" w:lineRule="auto"/>
        <w:ind w:left="414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разі втрати/повного знищення багажу надаються копії документів: </w:t>
      </w:r>
    </w:p>
    <w:p w14:paraId="32E057A9" w14:textId="77777777" w:rsidR="00813503" w:rsidRPr="00BF67D4" w:rsidRDefault="00813503" w:rsidP="00813503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посадковий квиток або підтвердження реєстрації на рейс;</w:t>
      </w:r>
    </w:p>
    <w:p w14:paraId="7932F6D9" w14:textId="77777777" w:rsidR="004902C1" w:rsidRPr="00BF67D4" w:rsidRDefault="00813503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підтвердження втрати багажу від перевізника або його </w:t>
      </w:r>
      <w:proofErr w:type="spellStart"/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агента</w:t>
      </w:r>
      <w:proofErr w:type="spellEnd"/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1" w:name="_Ref166774760"/>
    </w:p>
    <w:p w14:paraId="2F1F6491" w14:textId="453ABB5F" w:rsidR="004902C1" w:rsidRPr="00BF67D4" w:rsidRDefault="004902C1" w:rsidP="004902C1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240" w:after="0" w:line="276" w:lineRule="auto"/>
        <w:ind w:left="414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7D4">
        <w:rPr>
          <w:rFonts w:ascii="Times New Roman" w:hAnsi="Times New Roman" w:cs="Times New Roman"/>
          <w:sz w:val="24"/>
          <w:szCs w:val="24"/>
        </w:rPr>
        <w:t xml:space="preserve">у </w:t>
      </w: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разі</w:t>
      </w:r>
      <w:r w:rsidRPr="00BF67D4">
        <w:rPr>
          <w:rFonts w:ascii="Times New Roman" w:hAnsi="Times New Roman" w:cs="Times New Roman"/>
          <w:sz w:val="24"/>
          <w:szCs w:val="24"/>
        </w:rPr>
        <w:t xml:space="preserve"> нещасного випадку:</w:t>
      </w:r>
      <w:bookmarkEnd w:id="1"/>
    </w:p>
    <w:p w14:paraId="6261E79D" w14:textId="59438F0C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документи</w:t>
      </w:r>
      <w:r w:rsidRPr="00BF67D4">
        <w:rPr>
          <w:rFonts w:ascii="Times New Roman" w:hAnsi="Times New Roman" w:cs="Times New Roman"/>
          <w:bCs/>
          <w:sz w:val="24"/>
          <w:szCs w:val="24"/>
        </w:rPr>
        <w:t xml:space="preserve"> медичної установи з підтвердженням факту отримання травми. </w:t>
      </w:r>
    </w:p>
    <w:p w14:paraId="60FF632D" w14:textId="77777777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 xml:space="preserve">за вимогою Страховика - довідку з медичної установи про вміст алкоголю, наркотичних </w:t>
      </w: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та</w:t>
      </w:r>
      <w:r w:rsidRPr="00BF67D4">
        <w:rPr>
          <w:rFonts w:ascii="Times New Roman" w:hAnsi="Times New Roman" w:cs="Times New Roman"/>
          <w:bCs/>
          <w:sz w:val="24"/>
          <w:szCs w:val="24"/>
        </w:rPr>
        <w:t xml:space="preserve"> токсичних речовин у крові потерпілої Застрахованої особи на момент нещасного випадку або одразу після його настання;</w:t>
      </w:r>
    </w:p>
    <w:p w14:paraId="408C99D4" w14:textId="77777777" w:rsidR="004902C1" w:rsidRPr="00BF67D4" w:rsidRDefault="004902C1" w:rsidP="004902C1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240" w:after="0" w:line="276" w:lineRule="auto"/>
        <w:ind w:left="414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67D4">
        <w:rPr>
          <w:rFonts w:ascii="Times New Roman" w:hAnsi="Times New Roman" w:cs="Times New Roman"/>
          <w:sz w:val="24"/>
          <w:szCs w:val="24"/>
        </w:rPr>
        <w:t xml:space="preserve">у </w:t>
      </w: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випадку</w:t>
      </w:r>
      <w:r w:rsidRPr="00BF67D4">
        <w:rPr>
          <w:rFonts w:ascii="Times New Roman" w:hAnsi="Times New Roman" w:cs="Times New Roman"/>
          <w:sz w:val="24"/>
          <w:szCs w:val="24"/>
        </w:rPr>
        <w:t xml:space="preserve"> смерті внаслідок нещасного випадку:</w:t>
      </w:r>
    </w:p>
    <w:p w14:paraId="6CF623BE" w14:textId="77777777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>складений за кордоном протокол про смерть внаслідок нещасного випадку, де зазначена інформація про обставини випадку або документи медичної установи з підтвердженням факту смерті внаслідок нещасного випадку;</w:t>
      </w:r>
    </w:p>
    <w:p w14:paraId="72161D71" w14:textId="45B4C6C2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>офіційне свідоцтво про смерть (копія, завірена нотаріально);</w:t>
      </w:r>
    </w:p>
    <w:p w14:paraId="1DA1654A" w14:textId="78FF6C4F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>документи, що підтверджують право на спадщину (копія, завірена нотаріально);</w:t>
      </w:r>
    </w:p>
    <w:p w14:paraId="43CD2A05" w14:textId="7715311B" w:rsidR="004902C1" w:rsidRPr="00BF67D4" w:rsidRDefault="004902C1" w:rsidP="004902C1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240" w:after="0" w:line="276" w:lineRule="auto"/>
        <w:ind w:left="414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67D4">
        <w:rPr>
          <w:rFonts w:ascii="Times New Roman" w:hAnsi="Times New Roman" w:cs="Times New Roman"/>
          <w:sz w:val="24"/>
          <w:szCs w:val="24"/>
        </w:rPr>
        <w:t xml:space="preserve">у </w:t>
      </w: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випадку</w:t>
      </w:r>
      <w:r w:rsidRPr="00BF67D4">
        <w:rPr>
          <w:rFonts w:ascii="Times New Roman" w:hAnsi="Times New Roman" w:cs="Times New Roman"/>
          <w:sz w:val="24"/>
          <w:szCs w:val="24"/>
        </w:rPr>
        <w:t xml:space="preserve"> встановлення групи інвалідності:</w:t>
      </w:r>
    </w:p>
    <w:p w14:paraId="4B43AE06" w14:textId="31D2BDC9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>документи, вказані в п. «</w:t>
      </w:r>
      <w:r w:rsidRPr="00BF67D4">
        <w:rPr>
          <w:rFonts w:ascii="Times New Roman" w:hAnsi="Times New Roman" w:cs="Times New Roman"/>
          <w:sz w:val="24"/>
          <w:szCs w:val="24"/>
        </w:rPr>
        <w:t xml:space="preserve">у </w:t>
      </w: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випадку</w:t>
      </w:r>
      <w:r w:rsidRPr="00BF67D4">
        <w:rPr>
          <w:rFonts w:ascii="Times New Roman" w:hAnsi="Times New Roman" w:cs="Times New Roman"/>
          <w:sz w:val="24"/>
          <w:szCs w:val="24"/>
        </w:rPr>
        <w:t xml:space="preserve"> смерті внаслідок нещасного випадку</w:t>
      </w:r>
      <w:r w:rsidR="00B07EAC" w:rsidRPr="00BF67D4">
        <w:rPr>
          <w:rFonts w:ascii="Times New Roman" w:hAnsi="Times New Roman" w:cs="Times New Roman"/>
          <w:sz w:val="24"/>
          <w:szCs w:val="24"/>
        </w:rPr>
        <w:t>»</w:t>
      </w:r>
      <w:r w:rsidRPr="00BF67D4">
        <w:rPr>
          <w:rFonts w:ascii="Times New Roman" w:hAnsi="Times New Roman" w:cs="Times New Roman"/>
          <w:bCs/>
          <w:sz w:val="24"/>
          <w:szCs w:val="24"/>
        </w:rPr>
        <w:t xml:space="preserve"> та документ, виданий МСЕК України про встановлення Застрахованій особі групи інвалідності (копія, завірена нотаріально).</w:t>
      </w:r>
    </w:p>
    <w:p w14:paraId="6CB1DC04" w14:textId="77777777" w:rsidR="004902C1" w:rsidRPr="00BF67D4" w:rsidRDefault="004902C1" w:rsidP="004902C1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240" w:after="0" w:line="276" w:lineRule="auto"/>
        <w:ind w:left="414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67D4">
        <w:rPr>
          <w:rFonts w:ascii="Times New Roman" w:hAnsi="Times New Roman" w:cs="Times New Roman"/>
          <w:sz w:val="24"/>
          <w:szCs w:val="24"/>
        </w:rPr>
        <w:t xml:space="preserve">у </w:t>
      </w: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випадку</w:t>
      </w:r>
      <w:r w:rsidRPr="00BF67D4">
        <w:rPr>
          <w:rFonts w:ascii="Times New Roman" w:hAnsi="Times New Roman" w:cs="Times New Roman"/>
          <w:sz w:val="24"/>
          <w:szCs w:val="24"/>
        </w:rPr>
        <w:t xml:space="preserve"> нанесення шкоди третій особі: </w:t>
      </w:r>
    </w:p>
    <w:p w14:paraId="317D9A5E" w14:textId="722C28EB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>складений</w:t>
      </w:r>
      <w:r w:rsidRPr="00BF67D4">
        <w:rPr>
          <w:rFonts w:ascii="Times New Roman" w:hAnsi="Times New Roman" w:cs="Times New Roman"/>
          <w:sz w:val="24"/>
          <w:szCs w:val="24"/>
        </w:rPr>
        <w:t xml:space="preserve"> за кордоном протокол про нанесення шкоди Застрахованою особою здоров’ю або майну третьої особи</w:t>
      </w:r>
      <w:r w:rsidRPr="00BF67D4">
        <w:rPr>
          <w:rFonts w:ascii="Times New Roman" w:hAnsi="Times New Roman" w:cs="Times New Roman"/>
          <w:b/>
          <w:sz w:val="24"/>
          <w:szCs w:val="24"/>
        </w:rPr>
        <w:t>;</w:t>
      </w:r>
    </w:p>
    <w:p w14:paraId="38E4C915" w14:textId="74B0C90F" w:rsidR="004902C1" w:rsidRPr="00BF67D4" w:rsidRDefault="004902C1" w:rsidP="004902C1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before="240" w:after="0" w:line="276" w:lineRule="auto"/>
        <w:ind w:left="414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67D4">
        <w:rPr>
          <w:rFonts w:ascii="Times New Roman" w:hAnsi="Times New Roman" w:cs="Times New Roman"/>
          <w:sz w:val="24"/>
          <w:szCs w:val="24"/>
        </w:rPr>
        <w:t xml:space="preserve">у </w:t>
      </w:r>
      <w:r w:rsidRPr="00BF67D4">
        <w:rPr>
          <w:rFonts w:ascii="Times New Roman" w:eastAsia="Calibri" w:hAnsi="Times New Roman" w:cs="Times New Roman"/>
          <w:sz w:val="24"/>
          <w:szCs w:val="24"/>
          <w:lang w:eastAsia="ru-RU"/>
        </w:rPr>
        <w:t>разі</w:t>
      </w:r>
      <w:r w:rsidRPr="00BF67D4">
        <w:rPr>
          <w:rFonts w:ascii="Times New Roman" w:hAnsi="Times New Roman" w:cs="Times New Roman"/>
          <w:sz w:val="24"/>
          <w:szCs w:val="24"/>
        </w:rPr>
        <w:t xml:space="preserve"> нанесення шкоди здоров’ю третьої особи:</w:t>
      </w:r>
    </w:p>
    <w:p w14:paraId="5A4DE715" w14:textId="1BD95A36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>звіт лікаря із за значеним діагнозом та детальним переліком наданих послуг третій особі;</w:t>
      </w:r>
    </w:p>
    <w:p w14:paraId="1837F8D2" w14:textId="74311C54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>рецепти ліків, виписаних лікарем третій особі;</w:t>
      </w:r>
    </w:p>
    <w:p w14:paraId="6B08552D" w14:textId="030DBDC3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>квитанції (чеки) про оплату медикаментів, послуг лікаря/лікарні;</w:t>
      </w:r>
    </w:p>
    <w:p w14:paraId="6F615914" w14:textId="0A23A617" w:rsidR="004902C1" w:rsidRPr="00BF67D4" w:rsidRDefault="004902C1" w:rsidP="004902C1">
      <w:pPr>
        <w:widowControl w:val="0"/>
        <w:numPr>
          <w:ilvl w:val="3"/>
          <w:numId w:val="3"/>
        </w:numPr>
        <w:tabs>
          <w:tab w:val="left" w:pos="851"/>
          <w:tab w:val="left" w:pos="1134"/>
        </w:tabs>
        <w:autoSpaceDE w:val="0"/>
        <w:autoSpaceDN w:val="0"/>
        <w:spacing w:before="240" w:after="0" w:line="276" w:lineRule="auto"/>
        <w:ind w:left="563" w:hanging="31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67D4">
        <w:rPr>
          <w:rFonts w:ascii="Times New Roman" w:hAnsi="Times New Roman" w:cs="Times New Roman"/>
          <w:bCs/>
          <w:sz w:val="24"/>
          <w:szCs w:val="24"/>
        </w:rPr>
        <w:t>за вимогою Страховика - інші необхідні документи, пов’язані із нанесенням шкоди третій особі;</w:t>
      </w:r>
    </w:p>
    <w:p w14:paraId="1F0CCB72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289827A2" w14:textId="77777777" w:rsidTr="000E3B5B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8E587D1" w14:textId="77777777" w:rsidR="00813503" w:rsidRPr="00557C5C" w:rsidRDefault="00813503" w:rsidP="0081350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Можливі наслідки для споживача в разі невиконання ним обов’язків, визначених договором страхування, включаючи несвоєчасне повідомлення про настання страхового випадку без поважних причин та несвоєчасну сплату страхової премії або її наступної частини</w:t>
            </w:r>
          </w:p>
        </w:tc>
      </w:tr>
    </w:tbl>
    <w:p w14:paraId="703528FF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2B2DA" w14:textId="77777777" w:rsidR="00813503" w:rsidRPr="00557C5C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 xml:space="preserve">Несвоєчасне повідомлення про настання страхового випадку без поважних причин може бути підставою для </w:t>
      </w:r>
      <w:r w:rsidRPr="00557C5C">
        <w:rPr>
          <w:rFonts w:ascii="Times New Roman" w:eastAsia="Calibri" w:hAnsi="Times New Roman" w:cs="Times New Roman"/>
          <w:sz w:val="24"/>
          <w:szCs w:val="24"/>
        </w:rPr>
        <w:t>відмови</w:t>
      </w:r>
      <w:r w:rsidRPr="00557C5C">
        <w:rPr>
          <w:rFonts w:ascii="Times New Roman" w:eastAsia="Times New Roman" w:hAnsi="Times New Roman" w:cs="Times New Roman"/>
          <w:sz w:val="24"/>
          <w:szCs w:val="24"/>
        </w:rPr>
        <w:t xml:space="preserve"> у страховій виплаті.</w:t>
      </w:r>
    </w:p>
    <w:p w14:paraId="4544248B" w14:textId="77777777" w:rsidR="00813503" w:rsidRPr="00557C5C" w:rsidRDefault="00813503" w:rsidP="008135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3" w:hanging="1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557C5C">
        <w:rPr>
          <w:rFonts w:ascii="Times New Roman" w:eastAsia="Calibri" w:hAnsi="Times New Roman" w:cs="Times New Roman"/>
          <w:sz w:val="24"/>
          <w:szCs w:val="24"/>
        </w:rPr>
        <w:t>несплаті</w:t>
      </w:r>
      <w:r w:rsidRPr="0055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страхової премії / її першої частини в розмірі і в строки, визначені договором, договір вважається неукладеним (якщо інше не буде погоджено сторонами договору та зазначено в договорі страхування).</w:t>
      </w:r>
    </w:p>
    <w:p w14:paraId="623AD00C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57F05263" w14:textId="77777777" w:rsidTr="000E3B5B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054C3740" w14:textId="77777777" w:rsidR="00813503" w:rsidRPr="00557C5C" w:rsidRDefault="00813503" w:rsidP="0081350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Інформація про можливість придбати страховий продукт окремо, якщо такий продукт пропонується разом із супутнім та/або додатковим товаром, роботою або послугою, що не є страховою, як складова одного пакета або договору</w:t>
            </w:r>
          </w:p>
        </w:tc>
      </w:tr>
    </w:tbl>
    <w:p w14:paraId="39958C63" w14:textId="77777777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78570" w14:textId="4F26DCC6" w:rsidR="00813503" w:rsidRPr="00557C5C" w:rsidRDefault="00813503" w:rsidP="00813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C5C">
        <w:rPr>
          <w:rFonts w:ascii="Times New Roman" w:eastAsia="Times New Roman" w:hAnsi="Times New Roman" w:cs="Times New Roman"/>
          <w:sz w:val="24"/>
          <w:szCs w:val="24"/>
        </w:rPr>
        <w:t>Продукт</w:t>
      </w:r>
      <w:r w:rsidR="00A216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7C5C">
        <w:rPr>
          <w:rFonts w:ascii="Times New Roman" w:eastAsia="Times New Roman" w:hAnsi="Times New Roman" w:cs="Times New Roman"/>
          <w:sz w:val="24"/>
          <w:szCs w:val="24"/>
        </w:rPr>
        <w:t xml:space="preserve"> не є додатковим</w:t>
      </w:r>
      <w:r w:rsidR="00A216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7C5C">
        <w:rPr>
          <w:rFonts w:ascii="Times New Roman" w:eastAsia="Times New Roman" w:hAnsi="Times New Roman" w:cs="Times New Roman"/>
          <w:sz w:val="24"/>
          <w:szCs w:val="24"/>
        </w:rPr>
        <w:t xml:space="preserve"> до інших товарів, робіт або послуг, що не є страховими.</w:t>
      </w:r>
    </w:p>
    <w:p w14:paraId="2206DA81" w14:textId="77777777" w:rsidR="00813503" w:rsidRPr="00557C5C" w:rsidRDefault="00813503" w:rsidP="00813503">
      <w:pPr>
        <w:tabs>
          <w:tab w:val="left" w:pos="284"/>
        </w:tabs>
        <w:autoSpaceDE w:val="0"/>
        <w:autoSpaceDN w:val="0"/>
        <w:adjustRightInd w:val="0"/>
        <w:spacing w:after="6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9"/>
      </w:tblGrid>
      <w:tr w:rsidR="00813503" w:rsidRPr="00557C5C" w14:paraId="23EF4564" w14:textId="77777777" w:rsidTr="000E3B5B"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BF93EE8" w14:textId="77777777" w:rsidR="00813503" w:rsidRPr="00557C5C" w:rsidRDefault="00813503" w:rsidP="00813503">
            <w:pPr>
              <w:numPr>
                <w:ilvl w:val="0"/>
                <w:numId w:val="5"/>
              </w:numPr>
              <w:tabs>
                <w:tab w:val="left" w:pos="284"/>
              </w:tabs>
              <w:adjustRightInd w:val="0"/>
              <w:spacing w:after="6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Умови отримання знижки на страховий продукт та акційні пропозиції </w:t>
            </w:r>
            <w:r w:rsidRPr="0055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страховика (за наявності), включаючи терміни їх дії</w:t>
            </w:r>
          </w:p>
        </w:tc>
      </w:tr>
    </w:tbl>
    <w:p w14:paraId="2D45D197" w14:textId="77777777" w:rsidR="00813503" w:rsidRPr="00557C5C" w:rsidRDefault="00813503" w:rsidP="00813503">
      <w:pPr>
        <w:tabs>
          <w:tab w:val="left" w:pos="284"/>
        </w:tabs>
        <w:autoSpaceDE w:val="0"/>
        <w:autoSpaceDN w:val="0"/>
        <w:adjustRightInd w:val="0"/>
        <w:spacing w:after="6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A865389" w14:textId="0BCAC3E1" w:rsidR="001D538C" w:rsidRDefault="00813503" w:rsidP="00813503">
      <w:r w:rsidRPr="00557C5C">
        <w:rPr>
          <w:rFonts w:ascii="Times New Roman" w:eastAsia="Times New Roman" w:hAnsi="Times New Roman" w:cs="Times New Roman"/>
          <w:sz w:val="24"/>
          <w:szCs w:val="24"/>
        </w:rPr>
        <w:t>Знижок на дан</w:t>
      </w:r>
      <w:r w:rsidR="00A216FE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557C5C">
        <w:rPr>
          <w:rFonts w:ascii="Times New Roman" w:eastAsia="Times New Roman" w:hAnsi="Times New Roman" w:cs="Times New Roman"/>
          <w:sz w:val="24"/>
          <w:szCs w:val="24"/>
        </w:rPr>
        <w:t>страхов</w:t>
      </w:r>
      <w:r w:rsidR="00A216FE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557C5C">
        <w:rPr>
          <w:rFonts w:ascii="Times New Roman" w:eastAsia="Times New Roman" w:hAnsi="Times New Roman" w:cs="Times New Roman"/>
          <w:sz w:val="24"/>
          <w:szCs w:val="24"/>
        </w:rPr>
        <w:t xml:space="preserve"> продук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407C87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нем</w:t>
      </w:r>
      <w:r w:rsidR="00EB5423">
        <w:rPr>
          <w:rFonts w:ascii="Times New Roman" w:eastAsia="Times New Roman" w:hAnsi="Times New Roman" w:cs="Times New Roman"/>
          <w:sz w:val="24"/>
          <w:szCs w:val="24"/>
        </w:rPr>
        <w:t xml:space="preserve">ає. </w:t>
      </w:r>
    </w:p>
    <w:sectPr w:rsidR="001D53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0663"/>
    <w:multiLevelType w:val="hybridMultilevel"/>
    <w:tmpl w:val="D05ABC5C"/>
    <w:lvl w:ilvl="0" w:tplc="C06ED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5C1E"/>
    <w:multiLevelType w:val="hybridMultilevel"/>
    <w:tmpl w:val="631CAC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C352E"/>
    <w:multiLevelType w:val="multilevel"/>
    <w:tmpl w:val="5E7E5B32"/>
    <w:lvl w:ilvl="0">
      <w:start w:val="18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3" w15:restartNumberingAfterBreak="0">
    <w:nsid w:val="49852890"/>
    <w:multiLevelType w:val="hybridMultilevel"/>
    <w:tmpl w:val="B2388CF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23E12"/>
    <w:multiLevelType w:val="hybridMultilevel"/>
    <w:tmpl w:val="E39452C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7725F"/>
    <w:multiLevelType w:val="hybridMultilevel"/>
    <w:tmpl w:val="990C0E9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1790E"/>
    <w:multiLevelType w:val="hybridMultilevel"/>
    <w:tmpl w:val="9EEE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C1388"/>
    <w:multiLevelType w:val="multilevel"/>
    <w:tmpl w:val="A6A47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8" w15:restartNumberingAfterBreak="0">
    <w:nsid w:val="6D866EFA"/>
    <w:multiLevelType w:val="multilevel"/>
    <w:tmpl w:val="75C0CAC0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423FDD"/>
    <w:multiLevelType w:val="hybridMultilevel"/>
    <w:tmpl w:val="8F72780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F60D0"/>
    <w:multiLevelType w:val="multilevel"/>
    <w:tmpl w:val="A852D126"/>
    <w:lvl w:ilvl="0">
      <w:start w:val="18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1288" w:hanging="720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1" w15:restartNumberingAfterBreak="0">
    <w:nsid w:val="7A241BE3"/>
    <w:multiLevelType w:val="hybridMultilevel"/>
    <w:tmpl w:val="A3E4E820"/>
    <w:lvl w:ilvl="0" w:tplc="C2F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56070"/>
    <w:multiLevelType w:val="hybridMultilevel"/>
    <w:tmpl w:val="DF963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82"/>
    <w:rsid w:val="001D538C"/>
    <w:rsid w:val="001E5A4C"/>
    <w:rsid w:val="00293390"/>
    <w:rsid w:val="003D5C75"/>
    <w:rsid w:val="00407C87"/>
    <w:rsid w:val="004902C1"/>
    <w:rsid w:val="00495B82"/>
    <w:rsid w:val="00564FA1"/>
    <w:rsid w:val="005D056F"/>
    <w:rsid w:val="0077716B"/>
    <w:rsid w:val="00813503"/>
    <w:rsid w:val="008D0E17"/>
    <w:rsid w:val="0090242C"/>
    <w:rsid w:val="00924929"/>
    <w:rsid w:val="00A216FE"/>
    <w:rsid w:val="00A53152"/>
    <w:rsid w:val="00B07EAC"/>
    <w:rsid w:val="00B7016C"/>
    <w:rsid w:val="00BF67D4"/>
    <w:rsid w:val="00C77995"/>
    <w:rsid w:val="00C9383C"/>
    <w:rsid w:val="00DD0441"/>
    <w:rsid w:val="00E97325"/>
    <w:rsid w:val="00E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2088"/>
  <w15:chartTrackingRefBased/>
  <w15:docId w15:val="{977CC3BA-9961-40D2-8190-70B135D2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1350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13503"/>
  </w:style>
  <w:style w:type="table" w:styleId="a5">
    <w:name w:val="Table Grid"/>
    <w:basedOn w:val="a1"/>
    <w:uiPriority w:val="39"/>
    <w:rsid w:val="0081350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EB54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B54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B542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B542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5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542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24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531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16831</Words>
  <Characters>9594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Зуєнко Олександра (Olexandra Zuienko)</dc:creator>
  <cp:keywords/>
  <dc:description/>
  <cp:lastModifiedBy>Зуєнко Олександра (Olexandra Zuienko)</cp:lastModifiedBy>
  <cp:revision>26</cp:revision>
  <dcterms:created xsi:type="dcterms:W3CDTF">2024-09-20T14:07:00Z</dcterms:created>
  <dcterms:modified xsi:type="dcterms:W3CDTF">2024-09-27T15:49:00Z</dcterms:modified>
</cp:coreProperties>
</file>